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F19B" w14:textId="77777777" w:rsidR="00426241" w:rsidRPr="00074B52" w:rsidRDefault="00426241" w:rsidP="0012715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14:paraId="02E7F847" w14:textId="18D701EA" w:rsidR="00426241" w:rsidRDefault="00426241" w:rsidP="0012715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14:paraId="0B711C04" w14:textId="77777777" w:rsidR="00F43848" w:rsidRPr="00074B52" w:rsidRDefault="00F43848" w:rsidP="0012715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14:paraId="182C7A96" w14:textId="324807ED" w:rsidR="00127155" w:rsidRPr="00074B52" w:rsidRDefault="00127155" w:rsidP="00395E90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 xml:space="preserve">Na osnovu člana 8 Zakona o akreditaciji ("Službeni list CG", br. 54/09 i 43/15), čl.12. Odluke o osnivanju Akreditacionog tijela </w:t>
      </w:r>
      <w:r w:rsidR="00395E90" w:rsidRPr="00395E90">
        <w:rPr>
          <w:rFonts w:ascii="Times New Roman" w:hAnsi="Times New Roman" w:cs="Times New Roman"/>
          <w:color w:val="auto"/>
          <w:lang w:val="pl-PL"/>
        </w:rPr>
        <w:t>("Službeni list Republike Crne Gore", br. 21/2007 od 13.04.2007, "Službeni list Crne</w:t>
      </w:r>
      <w:r w:rsidR="00395E90">
        <w:rPr>
          <w:rFonts w:ascii="Times New Roman" w:hAnsi="Times New Roman" w:cs="Times New Roman"/>
          <w:color w:val="auto"/>
          <w:lang w:val="pl-PL"/>
        </w:rPr>
        <w:t xml:space="preserve"> </w:t>
      </w:r>
      <w:r w:rsidR="00395E90" w:rsidRPr="00395E90">
        <w:rPr>
          <w:rFonts w:ascii="Times New Roman" w:hAnsi="Times New Roman" w:cs="Times New Roman"/>
          <w:color w:val="auto"/>
          <w:lang w:val="pl-PL"/>
        </w:rPr>
        <w:t>Gore", br. 13/2025 od 14.02.2025, 35/2025 od 02.04.2025, 117/2025 od 15.10.2025)</w:t>
      </w:r>
      <w:r w:rsidR="00395E90">
        <w:rPr>
          <w:rFonts w:ascii="Times New Roman" w:hAnsi="Times New Roman" w:cs="Times New Roman"/>
          <w:color w:val="auto"/>
          <w:lang w:val="pl-PL"/>
        </w:rPr>
        <w:t xml:space="preserve"> </w:t>
      </w:r>
      <w:r w:rsidRPr="00074B52">
        <w:rPr>
          <w:rFonts w:ascii="Times New Roman" w:hAnsi="Times New Roman" w:cs="Times New Roman"/>
          <w:color w:val="auto"/>
          <w:lang w:val="pl-PL"/>
        </w:rPr>
        <w:t xml:space="preserve">i u skladu sa pravilom Akreditacionog tijela Crne Gore </w:t>
      </w:r>
      <w:r w:rsidR="006D2914" w:rsidRPr="00074B52">
        <w:rPr>
          <w:rFonts w:ascii="Times New Roman" w:hAnsi="Times New Roman" w:cs="Times New Roman"/>
          <w:color w:val="auto"/>
          <w:lang w:val="pl-PL"/>
        </w:rPr>
        <w:t>PA</w:t>
      </w:r>
      <w:r w:rsidRPr="00074B52">
        <w:rPr>
          <w:rFonts w:ascii="Times New Roman" w:hAnsi="Times New Roman" w:cs="Times New Roman"/>
          <w:color w:val="auto"/>
          <w:lang w:val="pl-PL"/>
        </w:rPr>
        <w:t xml:space="preserve">.01 Pravila akreditacije, </w:t>
      </w:r>
    </w:p>
    <w:p w14:paraId="7D6793B5" w14:textId="77777777" w:rsidR="00127155" w:rsidRPr="00074B52" w:rsidRDefault="00127155" w:rsidP="0012715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14:paraId="099A75B0" w14:textId="77777777" w:rsidR="00127155" w:rsidRPr="00074B52" w:rsidRDefault="00127155" w:rsidP="0012715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14:paraId="3AD1920A" w14:textId="23146503" w:rsidR="00B73A68" w:rsidRDefault="00127155" w:rsidP="004A0877">
      <w:pPr>
        <w:pStyle w:val="Default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074B52">
        <w:rPr>
          <w:rFonts w:ascii="Times New Roman" w:hAnsi="Times New Roman" w:cs="Times New Roman"/>
          <w:b/>
          <w:color w:val="auto"/>
          <w:lang w:val="pl-PL"/>
        </w:rPr>
        <w:t>Akreditaciono tijelo Crne Gore</w:t>
      </w:r>
      <w:r w:rsidR="00B73A68">
        <w:rPr>
          <w:rFonts w:ascii="Times New Roman" w:hAnsi="Times New Roman" w:cs="Times New Roman"/>
          <w:b/>
          <w:color w:val="auto"/>
          <w:lang w:val="pl-PL"/>
        </w:rPr>
        <w:t>,</w:t>
      </w:r>
      <w:r w:rsidR="004A0877" w:rsidRPr="004A0877">
        <w:rPr>
          <w:rFonts w:ascii="Times New Roman" w:hAnsi="Times New Roman" w:cs="Times New Roman"/>
          <w:color w:val="auto"/>
          <w:lang w:val="pl-PL"/>
        </w:rPr>
        <w:t xml:space="preserve"> </w:t>
      </w:r>
      <w:r w:rsidR="004A0877" w:rsidRPr="00074B52">
        <w:rPr>
          <w:rFonts w:ascii="Times New Roman" w:hAnsi="Times New Roman" w:cs="Times New Roman"/>
          <w:color w:val="auto"/>
          <w:lang w:val="pl-PL"/>
        </w:rPr>
        <w:t xml:space="preserve">(u daljem tekstu: </w:t>
      </w:r>
      <w:r w:rsidR="004A0877" w:rsidRPr="00074B52">
        <w:rPr>
          <w:rFonts w:ascii="Times New Roman" w:hAnsi="Times New Roman" w:cs="Times New Roman"/>
          <w:b/>
          <w:bCs/>
          <w:color w:val="auto"/>
          <w:lang w:val="pl-PL"/>
        </w:rPr>
        <w:t>ATCG</w:t>
      </w:r>
      <w:r w:rsidR="004A0877" w:rsidRPr="00074B52">
        <w:rPr>
          <w:rFonts w:ascii="Times New Roman" w:hAnsi="Times New Roman" w:cs="Times New Roman"/>
          <w:color w:val="auto"/>
          <w:lang w:val="pl-PL"/>
        </w:rPr>
        <w:t>)</w:t>
      </w:r>
    </w:p>
    <w:p w14:paraId="05ACE190" w14:textId="77777777" w:rsidR="00B73A68" w:rsidRPr="00074B52" w:rsidRDefault="00B73A68" w:rsidP="00B73A68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</w:p>
    <w:p w14:paraId="5455F534" w14:textId="3A49AE7D" w:rsidR="00B73A68" w:rsidRPr="00074B52" w:rsidRDefault="00B73A68" w:rsidP="00B73A68">
      <w:pPr>
        <w:pStyle w:val="Default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 xml:space="preserve">                            </w:t>
      </w:r>
      <w:r w:rsidR="00F43848">
        <w:rPr>
          <w:rFonts w:ascii="Times New Roman" w:hAnsi="Times New Roman" w:cs="Times New Roman"/>
          <w:color w:val="auto"/>
          <w:lang w:val="pl-PL"/>
        </w:rPr>
        <w:t xml:space="preserve">    </w:t>
      </w:r>
      <w:r w:rsidRPr="00074B52">
        <w:rPr>
          <w:rFonts w:ascii="Times New Roman" w:hAnsi="Times New Roman" w:cs="Times New Roman"/>
          <w:color w:val="auto"/>
          <w:lang w:val="pl-PL"/>
        </w:rPr>
        <w:t>---------------------------------------------------------</w:t>
      </w:r>
    </w:p>
    <w:p w14:paraId="00ACA5F5" w14:textId="519648D8" w:rsidR="00B73A68" w:rsidRPr="00074B52" w:rsidRDefault="00B73A68" w:rsidP="00B73A68">
      <w:pPr>
        <w:spacing w:before="20" w:after="20"/>
        <w:jc w:val="center"/>
        <w:rPr>
          <w:b/>
          <w:i/>
          <w:sz w:val="20"/>
          <w:szCs w:val="20"/>
          <w:lang w:val="sr-Latn-CS"/>
        </w:rPr>
      </w:pPr>
      <w:r w:rsidRPr="00074B52">
        <w:rPr>
          <w:b/>
          <w:i/>
          <w:sz w:val="20"/>
          <w:szCs w:val="20"/>
          <w:lang w:val="sr-Latn-CS"/>
        </w:rPr>
        <w:t xml:space="preserve">( navodi se </w:t>
      </w:r>
      <w:r>
        <w:rPr>
          <w:b/>
          <w:i/>
          <w:sz w:val="20"/>
          <w:szCs w:val="20"/>
          <w:lang w:val="sr-Latn-CS"/>
        </w:rPr>
        <w:t>adresa, PIB)</w:t>
      </w:r>
      <w:r w:rsidRPr="00074B52">
        <w:rPr>
          <w:b/>
          <w:i/>
          <w:sz w:val="20"/>
          <w:szCs w:val="20"/>
          <w:lang w:val="sr-Latn-CS"/>
        </w:rPr>
        <w:t xml:space="preserve"> </w:t>
      </w:r>
    </w:p>
    <w:p w14:paraId="05A1A49A" w14:textId="76D1372C" w:rsidR="00127155" w:rsidRPr="00074B52" w:rsidRDefault="00B73A68" w:rsidP="00B73A68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 xml:space="preserve"> </w:t>
      </w:r>
    </w:p>
    <w:p w14:paraId="66A4954E" w14:textId="6765017A" w:rsidR="00912180" w:rsidRPr="0077280D" w:rsidRDefault="004A0877" w:rsidP="004A0877">
      <w:pPr>
        <w:jc w:val="center"/>
        <w:rPr>
          <w:lang w:val="pl-PL"/>
        </w:rPr>
      </w:pPr>
      <w:r>
        <w:rPr>
          <w:lang w:val="pl-PL"/>
        </w:rPr>
        <w:t>koje zastupa</w:t>
      </w:r>
      <w:r w:rsidR="00127155" w:rsidRPr="00074B52">
        <w:rPr>
          <w:lang w:val="pl-PL"/>
        </w:rPr>
        <w:t xml:space="preserve"> </w:t>
      </w:r>
      <w:r w:rsidR="00912180" w:rsidRPr="0077280D">
        <w:rPr>
          <w:lang w:val="pl-PL"/>
        </w:rPr>
        <w:t>d</w:t>
      </w:r>
      <w:r w:rsidR="00B73A68" w:rsidRPr="0077280D">
        <w:rPr>
          <w:lang w:val="pl-PL"/>
        </w:rPr>
        <w:t xml:space="preserve">irektor ATCG, </w:t>
      </w:r>
      <w:r w:rsidR="00F43848" w:rsidRPr="00074B52">
        <w:rPr>
          <w:lang w:val="pl-PL"/>
        </w:rPr>
        <w:t>------------------------</w:t>
      </w:r>
      <w:r w:rsidR="00F43848">
        <w:rPr>
          <w:lang w:val="pl-PL"/>
        </w:rPr>
        <w:t>--------------------------</w:t>
      </w:r>
      <w:r w:rsidR="00B73A68" w:rsidRPr="0077280D">
        <w:rPr>
          <w:lang w:val="pl-PL"/>
        </w:rPr>
        <w:t xml:space="preserve"> </w:t>
      </w:r>
      <w:r w:rsidR="00912180" w:rsidRPr="0077280D">
        <w:rPr>
          <w:lang w:val="pl-PL"/>
        </w:rPr>
        <w:t>,</w:t>
      </w:r>
      <w:r w:rsidRPr="0077280D">
        <w:rPr>
          <w:lang w:val="pl-PL"/>
        </w:rPr>
        <w:t xml:space="preserve"> </w:t>
      </w:r>
      <w:r w:rsidR="00912180" w:rsidRPr="0077280D">
        <w:rPr>
          <w:lang w:val="pl-PL"/>
        </w:rPr>
        <w:t xml:space="preserve"> sa jedne strane</w:t>
      </w:r>
      <w:r w:rsidR="00B73A68" w:rsidRPr="0077280D">
        <w:rPr>
          <w:lang w:val="pl-PL"/>
        </w:rPr>
        <w:tab/>
        <w:t xml:space="preserve">                                         </w:t>
      </w:r>
      <w:r w:rsidR="00B73A68" w:rsidRPr="0077280D">
        <w:rPr>
          <w:i/>
          <w:lang w:val="pl-PL"/>
        </w:rPr>
        <w:t xml:space="preserve"> </w:t>
      </w:r>
      <w:r w:rsidRPr="0077280D">
        <w:rPr>
          <w:i/>
          <w:lang w:val="pl-PL"/>
        </w:rPr>
        <w:t xml:space="preserve">       </w:t>
      </w:r>
      <w:r w:rsidR="00B73A68" w:rsidRPr="0077280D">
        <w:rPr>
          <w:i/>
          <w:lang w:val="pl-PL"/>
        </w:rPr>
        <w:t>(</w:t>
      </w:r>
      <w:r w:rsidR="00B73A68" w:rsidRPr="0077280D">
        <w:rPr>
          <w:i/>
          <w:sz w:val="20"/>
          <w:szCs w:val="20"/>
          <w:lang w:val="pl-PL"/>
        </w:rPr>
        <w:t>ime i prezime)</w:t>
      </w:r>
    </w:p>
    <w:p w14:paraId="25345C3F" w14:textId="39D6205E" w:rsidR="00127155" w:rsidRPr="00074B52" w:rsidRDefault="00127155" w:rsidP="00127155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</w:p>
    <w:p w14:paraId="64C3AE7B" w14:textId="7C6575DF" w:rsidR="00127155" w:rsidRPr="00074B52" w:rsidRDefault="00127155" w:rsidP="00127155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>i</w:t>
      </w:r>
    </w:p>
    <w:p w14:paraId="5B67EC96" w14:textId="2738E37D" w:rsidR="00912180" w:rsidRPr="00074B52" w:rsidRDefault="004A0877" w:rsidP="00127155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>
        <w:rPr>
          <w:rFonts w:ascii="Times New Roman" w:hAnsi="Times New Roman" w:cs="Times New Roman"/>
          <w:color w:val="auto"/>
          <w:lang w:val="pl-PL"/>
        </w:rPr>
        <w:t>Tijelo za ocjenjivanje</w:t>
      </w:r>
      <w:r w:rsidR="00912180" w:rsidRPr="00074B52">
        <w:rPr>
          <w:rFonts w:ascii="Times New Roman" w:hAnsi="Times New Roman" w:cs="Times New Roman"/>
          <w:color w:val="auto"/>
          <w:lang w:val="pl-PL"/>
        </w:rPr>
        <w:t xml:space="preserve"> usaglašenosti (</w:t>
      </w:r>
      <w:r w:rsidR="00CB4019" w:rsidRPr="00074B52">
        <w:rPr>
          <w:rFonts w:ascii="Times New Roman" w:hAnsi="Times New Roman" w:cs="Times New Roman"/>
          <w:color w:val="auto"/>
          <w:lang w:val="pl-PL"/>
        </w:rPr>
        <w:t xml:space="preserve">u daljem tekstu </w:t>
      </w:r>
      <w:r w:rsidR="00912180" w:rsidRPr="00074B52">
        <w:rPr>
          <w:rFonts w:ascii="Times New Roman" w:hAnsi="Times New Roman" w:cs="Times New Roman"/>
          <w:color w:val="auto"/>
          <w:lang w:val="pl-PL"/>
        </w:rPr>
        <w:t>TOU)</w:t>
      </w:r>
    </w:p>
    <w:p w14:paraId="4D1620EC" w14:textId="7EBDFA21" w:rsidR="00912180" w:rsidRPr="00074B52" w:rsidRDefault="00912180" w:rsidP="00127155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</w:p>
    <w:p w14:paraId="1E95A180" w14:textId="4F89A9DA" w:rsidR="00912180" w:rsidRPr="00074B52" w:rsidRDefault="00912180" w:rsidP="00912180">
      <w:pPr>
        <w:pStyle w:val="Default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 xml:space="preserve">                            ---------------------------------------------------------</w:t>
      </w:r>
    </w:p>
    <w:p w14:paraId="42099D78" w14:textId="650E8771" w:rsidR="00127155" w:rsidRPr="00074B52" w:rsidRDefault="00912180" w:rsidP="00912180">
      <w:pPr>
        <w:spacing w:before="20" w:after="20"/>
        <w:jc w:val="center"/>
        <w:rPr>
          <w:b/>
          <w:i/>
          <w:sz w:val="20"/>
          <w:szCs w:val="20"/>
          <w:lang w:val="sr-Latn-CS"/>
        </w:rPr>
      </w:pPr>
      <w:r w:rsidRPr="00074B52">
        <w:rPr>
          <w:b/>
          <w:i/>
          <w:sz w:val="20"/>
          <w:szCs w:val="20"/>
          <w:lang w:val="sr-Latn-CS"/>
        </w:rPr>
        <w:t>( navodi se n</w:t>
      </w:r>
      <w:r w:rsidR="00127155" w:rsidRPr="00074B52">
        <w:rPr>
          <w:b/>
          <w:i/>
          <w:sz w:val="20"/>
          <w:szCs w:val="20"/>
          <w:lang w:val="sr-Latn-CS"/>
        </w:rPr>
        <w:t>aziv i adresa pravnog lica (matične organizacije)</w:t>
      </w:r>
      <w:r w:rsidR="001579D5" w:rsidRPr="00074B52">
        <w:rPr>
          <w:b/>
          <w:i/>
          <w:sz w:val="20"/>
          <w:szCs w:val="20"/>
          <w:lang w:val="sr-Latn-CS"/>
        </w:rPr>
        <w:t>,</w:t>
      </w:r>
      <w:r w:rsidR="00B73A68">
        <w:rPr>
          <w:b/>
          <w:i/>
          <w:sz w:val="20"/>
          <w:szCs w:val="20"/>
          <w:lang w:val="sr-Latn-CS"/>
        </w:rPr>
        <w:t xml:space="preserve"> PIB</w:t>
      </w:r>
      <w:r w:rsidR="00F43848">
        <w:rPr>
          <w:b/>
          <w:i/>
          <w:sz w:val="20"/>
          <w:szCs w:val="20"/>
          <w:lang w:val="sr-Latn-CS"/>
        </w:rPr>
        <w:t xml:space="preserve">- </w:t>
      </w:r>
      <w:r w:rsidR="00B73A68">
        <w:rPr>
          <w:b/>
          <w:i/>
          <w:sz w:val="20"/>
          <w:szCs w:val="20"/>
          <w:lang w:val="sr-Latn-CS"/>
        </w:rPr>
        <w:t xml:space="preserve"> </w:t>
      </w:r>
      <w:r w:rsidRPr="0077280D">
        <w:rPr>
          <w:i/>
          <w:sz w:val="20"/>
          <w:szCs w:val="20"/>
          <w:lang w:val="pl-PL"/>
        </w:rPr>
        <w:t>onako kako je registrovano u CRPS)</w:t>
      </w:r>
    </w:p>
    <w:p w14:paraId="6A7FC255" w14:textId="77777777" w:rsidR="00912180" w:rsidRPr="00074B52" w:rsidRDefault="00912180" w:rsidP="00127155">
      <w:pPr>
        <w:spacing w:before="20" w:after="20"/>
        <w:jc w:val="center"/>
        <w:rPr>
          <w:lang w:val="sr-Latn-CS"/>
        </w:rPr>
      </w:pPr>
    </w:p>
    <w:p w14:paraId="2160C32F" w14:textId="4D36A381" w:rsidR="004A0877" w:rsidRPr="00074B52" w:rsidRDefault="00912180" w:rsidP="004A0877">
      <w:pPr>
        <w:pStyle w:val="Default"/>
        <w:jc w:val="both"/>
        <w:rPr>
          <w:rFonts w:ascii="Times New Roman" w:hAnsi="Times New Roman" w:cs="Times New Roman"/>
          <w:color w:val="auto"/>
          <w:lang w:val="sr-Latn-CS"/>
        </w:rPr>
      </w:pPr>
      <w:r w:rsidRPr="00074B52">
        <w:rPr>
          <w:color w:val="auto"/>
          <w:lang w:val="sr-Latn-CS"/>
        </w:rPr>
        <w:t xml:space="preserve">     </w:t>
      </w:r>
      <w:r w:rsidR="00127155" w:rsidRPr="00074B52">
        <w:rPr>
          <w:rFonts w:ascii="Times New Roman" w:hAnsi="Times New Roman" w:cs="Times New Roman"/>
          <w:color w:val="auto"/>
          <w:lang w:val="sr-Latn-CS"/>
        </w:rPr>
        <w:t>koje zastupa</w:t>
      </w:r>
      <w:r w:rsidR="00127155" w:rsidRPr="00074B52">
        <w:rPr>
          <w:color w:val="auto"/>
          <w:lang w:val="sr-Latn-CS"/>
        </w:rPr>
        <w:t xml:space="preserve"> </w:t>
      </w:r>
      <w:r w:rsidRPr="00074B52">
        <w:rPr>
          <w:rFonts w:ascii="Times New Roman" w:hAnsi="Times New Roman" w:cs="Times New Roman"/>
          <w:color w:val="auto"/>
          <w:lang w:val="pl-PL"/>
        </w:rPr>
        <w:t xml:space="preserve">  ---------------------------------------------------------</w:t>
      </w:r>
      <w:r w:rsidR="004A0877">
        <w:rPr>
          <w:rFonts w:ascii="Times New Roman" w:hAnsi="Times New Roman" w:cs="Times New Roman"/>
          <w:color w:val="auto"/>
          <w:lang w:val="pl-PL"/>
        </w:rPr>
        <w:t>---------</w:t>
      </w:r>
      <w:r w:rsidR="004A0877">
        <w:rPr>
          <w:rFonts w:ascii="Times New Roman" w:hAnsi="Times New Roman" w:cs="Times New Roman"/>
          <w:color w:val="auto"/>
          <w:lang w:val="sr-Latn-CS"/>
        </w:rPr>
        <w:t xml:space="preserve">, </w:t>
      </w:r>
      <w:r w:rsidR="004A0877" w:rsidRPr="00074B52">
        <w:rPr>
          <w:rFonts w:ascii="Times New Roman" w:hAnsi="Times New Roman" w:cs="Times New Roman"/>
          <w:color w:val="auto"/>
          <w:lang w:val="sr-Latn-CS"/>
        </w:rPr>
        <w:t xml:space="preserve">sa druge strane </w:t>
      </w:r>
    </w:p>
    <w:p w14:paraId="41CC111C" w14:textId="2309ACFE" w:rsidR="00912180" w:rsidRPr="00074B52" w:rsidRDefault="00912180" w:rsidP="00912180">
      <w:pPr>
        <w:spacing w:before="20" w:after="20"/>
        <w:rPr>
          <w:b/>
          <w:i/>
          <w:sz w:val="20"/>
          <w:szCs w:val="20"/>
          <w:lang w:val="sr-Latn-CS"/>
        </w:rPr>
      </w:pPr>
      <w:r w:rsidRPr="00074B52">
        <w:rPr>
          <w:b/>
          <w:i/>
          <w:sz w:val="20"/>
          <w:szCs w:val="20"/>
          <w:lang w:val="sr-Latn-CS"/>
        </w:rPr>
        <w:t xml:space="preserve">                               ( navodi se ime i prezime ovlašćenog lica i njegova funkcijau pravnom licu)</w:t>
      </w:r>
    </w:p>
    <w:p w14:paraId="05EAD6F2" w14:textId="12A6E90A" w:rsidR="00127155" w:rsidRPr="00074B52" w:rsidRDefault="00127155" w:rsidP="00912180">
      <w:pPr>
        <w:spacing w:before="20" w:after="20"/>
        <w:rPr>
          <w:rFonts w:cs="Arial"/>
          <w:b/>
          <w:lang w:val="it-IT"/>
        </w:rPr>
      </w:pPr>
    </w:p>
    <w:p w14:paraId="6DC4C7F5" w14:textId="77777777" w:rsidR="00127155" w:rsidRPr="00074B52" w:rsidRDefault="00127155" w:rsidP="00127155">
      <w:pPr>
        <w:pStyle w:val="Default"/>
        <w:jc w:val="center"/>
        <w:rPr>
          <w:rFonts w:ascii="Times New Roman" w:hAnsi="Times New Roman" w:cs="Times New Roman"/>
          <w:color w:val="auto"/>
          <w:lang w:val="sr-Latn-CS"/>
        </w:rPr>
      </w:pPr>
      <w:r w:rsidRPr="00074B52">
        <w:rPr>
          <w:rFonts w:ascii="Times New Roman" w:hAnsi="Times New Roman" w:cs="Times New Roman"/>
          <w:color w:val="auto"/>
          <w:lang w:val="sr-Latn-CS"/>
        </w:rPr>
        <w:t>potpisuju</w:t>
      </w:r>
    </w:p>
    <w:p w14:paraId="3137F77E" w14:textId="77777777" w:rsidR="00127155" w:rsidRPr="00074B52" w:rsidRDefault="00127155" w:rsidP="00127155">
      <w:pPr>
        <w:pStyle w:val="Default"/>
        <w:jc w:val="both"/>
        <w:rPr>
          <w:rFonts w:ascii="Times New Roman" w:hAnsi="Times New Roman" w:cs="Times New Roman"/>
          <w:color w:val="auto"/>
          <w:lang w:val="sr-Latn-CS"/>
        </w:rPr>
      </w:pPr>
    </w:p>
    <w:p w14:paraId="4B1E6F6B" w14:textId="3BCACC4C" w:rsidR="00127155" w:rsidRPr="00074B52" w:rsidRDefault="00127155" w:rsidP="00127155">
      <w:pPr>
        <w:pStyle w:val="Default"/>
        <w:tabs>
          <w:tab w:val="center" w:pos="4320"/>
          <w:tab w:val="left" w:pos="6912"/>
        </w:tabs>
        <w:jc w:val="center"/>
        <w:rPr>
          <w:rFonts w:ascii="Times New Roman" w:hAnsi="Times New Roman" w:cs="Times New Roman"/>
          <w:color w:val="auto"/>
          <w:lang w:val="sr-Latn-CS"/>
        </w:rPr>
      </w:pPr>
      <w:r w:rsidRPr="00074B52">
        <w:rPr>
          <w:rFonts w:ascii="Times New Roman" w:hAnsi="Times New Roman" w:cs="Times New Roman"/>
          <w:b/>
          <w:bCs/>
          <w:color w:val="auto"/>
          <w:lang w:val="sr-Latn-CS"/>
        </w:rPr>
        <w:t>UGOVOR O AKREDITACIJI</w:t>
      </w:r>
      <w:r w:rsidRPr="00074B52">
        <w:rPr>
          <w:rFonts w:ascii="Times New Roman" w:hAnsi="Times New Roman" w:cs="Times New Roman"/>
          <w:bCs/>
          <w:color w:val="auto"/>
          <w:lang w:val="sr-Latn-CS"/>
        </w:rPr>
        <w:t xml:space="preserve"> </w:t>
      </w:r>
      <w:r w:rsidRPr="00074B52">
        <w:rPr>
          <w:rFonts w:ascii="Times New Roman" w:hAnsi="Times New Roman" w:cs="Times New Roman"/>
          <w:b/>
          <w:bCs/>
          <w:color w:val="auto"/>
          <w:lang w:val="sr-Latn-CS"/>
        </w:rPr>
        <w:t xml:space="preserve">Br. </w:t>
      </w:r>
      <w:r w:rsidR="00912180" w:rsidRPr="00074B52">
        <w:rPr>
          <w:rFonts w:ascii="Times New Roman" w:hAnsi="Times New Roman" w:cs="Times New Roman"/>
          <w:b/>
          <w:bCs/>
          <w:color w:val="auto"/>
          <w:lang w:val="sr-Latn-CS"/>
        </w:rPr>
        <w:t>-----------------</w:t>
      </w:r>
    </w:p>
    <w:p w14:paraId="69A5431F" w14:textId="77777777" w:rsidR="00127155" w:rsidRPr="00074B52" w:rsidRDefault="00127155" w:rsidP="00127155">
      <w:pPr>
        <w:pStyle w:val="Default"/>
        <w:rPr>
          <w:rFonts w:ascii="Times New Roman" w:hAnsi="Times New Roman" w:cs="Times New Roman"/>
          <w:bCs/>
          <w:color w:val="auto"/>
          <w:lang w:val="sr-Latn-CS"/>
        </w:rPr>
      </w:pPr>
    </w:p>
    <w:p w14:paraId="6E56B9BA" w14:textId="77777777" w:rsidR="004A0877" w:rsidRDefault="004A0877" w:rsidP="0012715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sr-Latn-CS"/>
        </w:rPr>
      </w:pPr>
    </w:p>
    <w:p w14:paraId="7D392133" w14:textId="7440A068" w:rsidR="00127155" w:rsidRPr="00074B52" w:rsidRDefault="00127155" w:rsidP="0012715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sr-Latn-CS"/>
        </w:rPr>
      </w:pPr>
      <w:r w:rsidRPr="00074B52">
        <w:rPr>
          <w:rFonts w:ascii="Times New Roman" w:hAnsi="Times New Roman" w:cs="Times New Roman"/>
          <w:b/>
          <w:bCs/>
          <w:color w:val="auto"/>
          <w:lang w:val="sr-Latn-CS"/>
        </w:rPr>
        <w:t>Predmet Ugovora</w:t>
      </w:r>
    </w:p>
    <w:p w14:paraId="13BB8C74" w14:textId="77777777" w:rsidR="00127155" w:rsidRPr="00074B52" w:rsidRDefault="00127155" w:rsidP="00127155">
      <w:pPr>
        <w:pStyle w:val="Default"/>
        <w:jc w:val="both"/>
        <w:rPr>
          <w:rFonts w:ascii="Times New Roman" w:hAnsi="Times New Roman" w:cs="Times New Roman"/>
          <w:color w:val="auto"/>
          <w:lang w:val="sr-Latn-CS"/>
        </w:rPr>
      </w:pPr>
    </w:p>
    <w:p w14:paraId="1D07F969" w14:textId="77777777" w:rsidR="00127155" w:rsidRPr="00074B52" w:rsidRDefault="00127155" w:rsidP="00127155">
      <w:pPr>
        <w:pStyle w:val="Default"/>
        <w:jc w:val="center"/>
        <w:rPr>
          <w:rFonts w:ascii="Times New Roman" w:hAnsi="Times New Roman" w:cs="Times New Roman"/>
          <w:color w:val="auto"/>
          <w:lang w:val="sr-Latn-CS"/>
        </w:rPr>
      </w:pPr>
      <w:r w:rsidRPr="00074B52">
        <w:rPr>
          <w:rFonts w:ascii="Times New Roman" w:hAnsi="Times New Roman" w:cs="Times New Roman"/>
          <w:color w:val="auto"/>
          <w:lang w:val="sr-Latn-CS"/>
        </w:rPr>
        <w:t>Član 1</w:t>
      </w:r>
    </w:p>
    <w:p w14:paraId="55F7FE9F" w14:textId="77777777" w:rsidR="00127155" w:rsidRPr="00F43848" w:rsidRDefault="00127155" w:rsidP="00127155">
      <w:pPr>
        <w:pStyle w:val="Default"/>
        <w:jc w:val="both"/>
        <w:rPr>
          <w:rFonts w:ascii="Times New Roman" w:hAnsi="Times New Roman" w:cs="Times New Roman"/>
          <w:color w:val="auto"/>
          <w:sz w:val="10"/>
          <w:szCs w:val="10"/>
          <w:lang w:val="sr-Latn-CS"/>
        </w:rPr>
      </w:pPr>
    </w:p>
    <w:p w14:paraId="5415DA8C" w14:textId="3C4AA88A" w:rsidR="00127155" w:rsidRPr="0077280D" w:rsidRDefault="00127155" w:rsidP="00912180">
      <w:pPr>
        <w:pStyle w:val="Default"/>
        <w:jc w:val="both"/>
        <w:rPr>
          <w:rFonts w:ascii="Times New Roman" w:hAnsi="Times New Roman" w:cs="Times New Roman"/>
          <w:color w:val="auto"/>
          <w:lang w:val="sr-Latn-CS"/>
        </w:rPr>
      </w:pPr>
      <w:r w:rsidRPr="00074B52">
        <w:rPr>
          <w:rFonts w:ascii="Times New Roman" w:hAnsi="Times New Roman" w:cs="Times New Roman"/>
          <w:color w:val="auto"/>
          <w:lang w:val="sr-Latn-CS"/>
        </w:rPr>
        <w:t>Ovim Ugovorom se reguliš</w:t>
      </w:r>
      <w:r w:rsidR="00F01900" w:rsidRPr="00074B52">
        <w:rPr>
          <w:rFonts w:ascii="Times New Roman" w:hAnsi="Times New Roman" w:cs="Times New Roman"/>
          <w:color w:val="auto"/>
          <w:lang w:val="sr-Latn-CS"/>
        </w:rPr>
        <w:t>u</w:t>
      </w:r>
      <w:r w:rsidR="00F62F15" w:rsidRPr="00074B52">
        <w:rPr>
          <w:rFonts w:ascii="Times New Roman" w:hAnsi="Times New Roman" w:cs="Times New Roman"/>
          <w:color w:val="auto"/>
          <w:lang w:val="sr-Latn-CS"/>
        </w:rPr>
        <w:t xml:space="preserve"> </w:t>
      </w:r>
      <w:r w:rsidRPr="00074B52">
        <w:rPr>
          <w:rFonts w:ascii="Times New Roman" w:hAnsi="Times New Roman" w:cs="Times New Roman"/>
          <w:color w:val="auto"/>
          <w:lang w:val="pl-PL"/>
        </w:rPr>
        <w:t>prava</w:t>
      </w:r>
      <w:r w:rsidRPr="0077280D">
        <w:rPr>
          <w:rFonts w:ascii="Times New Roman" w:hAnsi="Times New Roman" w:cs="Times New Roman"/>
          <w:color w:val="auto"/>
          <w:lang w:val="sr-Latn-CS"/>
        </w:rPr>
        <w:t xml:space="preserve"> </w:t>
      </w:r>
      <w:r w:rsidRPr="00074B52">
        <w:rPr>
          <w:rFonts w:ascii="Times New Roman" w:hAnsi="Times New Roman" w:cs="Times New Roman"/>
          <w:color w:val="auto"/>
          <w:lang w:val="pl-PL"/>
        </w:rPr>
        <w:t>i</w:t>
      </w:r>
      <w:r w:rsidRPr="0077280D">
        <w:rPr>
          <w:rFonts w:ascii="Times New Roman" w:hAnsi="Times New Roman" w:cs="Times New Roman"/>
          <w:color w:val="auto"/>
          <w:lang w:val="sr-Latn-CS"/>
        </w:rPr>
        <w:t xml:space="preserve"> </w:t>
      </w:r>
      <w:r w:rsidRPr="00074B52">
        <w:rPr>
          <w:rFonts w:ascii="Times New Roman" w:hAnsi="Times New Roman" w:cs="Times New Roman"/>
          <w:color w:val="auto"/>
          <w:lang w:val="pl-PL"/>
        </w:rPr>
        <w:t>obaveze</w:t>
      </w:r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 </w:t>
      </w:r>
      <w:proofErr w:type="spellStart"/>
      <w:r w:rsidR="00912180" w:rsidRPr="00074B52">
        <w:rPr>
          <w:rFonts w:ascii="Times New Roman" w:hAnsi="Times New Roman" w:cs="Times New Roman"/>
          <w:color w:val="auto"/>
        </w:rPr>
        <w:t>ugovornih</w:t>
      </w:r>
      <w:proofErr w:type="spellEnd"/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 </w:t>
      </w:r>
      <w:proofErr w:type="spellStart"/>
      <w:r w:rsidR="00912180" w:rsidRPr="00074B52">
        <w:rPr>
          <w:rFonts w:ascii="Times New Roman" w:hAnsi="Times New Roman" w:cs="Times New Roman"/>
          <w:color w:val="auto"/>
        </w:rPr>
        <w:t>strana</w:t>
      </w:r>
      <w:proofErr w:type="spellEnd"/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, </w:t>
      </w:r>
      <w:r w:rsidR="00912180" w:rsidRPr="00074B52">
        <w:rPr>
          <w:rFonts w:ascii="Times New Roman" w:hAnsi="Times New Roman" w:cs="Times New Roman"/>
          <w:color w:val="auto"/>
        </w:rPr>
        <w:t>me</w:t>
      </w:r>
      <w:r w:rsidR="00912180" w:rsidRPr="0077280D">
        <w:rPr>
          <w:rFonts w:ascii="Times New Roman" w:hAnsi="Times New Roman" w:cs="Times New Roman"/>
          <w:color w:val="auto"/>
          <w:lang w:val="sr-Latn-CS"/>
        </w:rPr>
        <w:t>đ</w:t>
      </w:r>
      <w:proofErr w:type="spellStart"/>
      <w:r w:rsidR="00912180" w:rsidRPr="00074B52">
        <w:rPr>
          <w:rFonts w:ascii="Times New Roman" w:hAnsi="Times New Roman" w:cs="Times New Roman"/>
          <w:color w:val="auto"/>
        </w:rPr>
        <w:t>usobna</w:t>
      </w:r>
      <w:proofErr w:type="spellEnd"/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 </w:t>
      </w:r>
      <w:proofErr w:type="spellStart"/>
      <w:r w:rsidR="00912180" w:rsidRPr="00074B52">
        <w:rPr>
          <w:rFonts w:ascii="Times New Roman" w:hAnsi="Times New Roman" w:cs="Times New Roman"/>
          <w:color w:val="auto"/>
        </w:rPr>
        <w:t>pitanja</w:t>
      </w:r>
      <w:proofErr w:type="spellEnd"/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 </w:t>
      </w:r>
      <w:proofErr w:type="spellStart"/>
      <w:r w:rsidR="00912180" w:rsidRPr="00074B52">
        <w:rPr>
          <w:rFonts w:ascii="Times New Roman" w:hAnsi="Times New Roman" w:cs="Times New Roman"/>
          <w:color w:val="auto"/>
        </w:rPr>
        <w:t>vezana</w:t>
      </w:r>
      <w:proofErr w:type="spellEnd"/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 </w:t>
      </w:r>
      <w:r w:rsidR="00912180" w:rsidRPr="00074B52">
        <w:rPr>
          <w:rFonts w:ascii="Times New Roman" w:hAnsi="Times New Roman" w:cs="Times New Roman"/>
          <w:color w:val="auto"/>
        </w:rPr>
        <w:t>za</w:t>
      </w:r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 </w:t>
      </w:r>
      <w:proofErr w:type="spellStart"/>
      <w:r w:rsidR="00912180" w:rsidRPr="00074B52">
        <w:rPr>
          <w:rFonts w:ascii="Times New Roman" w:hAnsi="Times New Roman" w:cs="Times New Roman"/>
          <w:color w:val="auto"/>
        </w:rPr>
        <w:t>postupak</w:t>
      </w:r>
      <w:proofErr w:type="spellEnd"/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 </w:t>
      </w:r>
      <w:proofErr w:type="spellStart"/>
      <w:r w:rsidR="00912180" w:rsidRPr="00074B52">
        <w:rPr>
          <w:rFonts w:ascii="Times New Roman" w:hAnsi="Times New Roman" w:cs="Times New Roman"/>
          <w:color w:val="auto"/>
        </w:rPr>
        <w:t>akreditacije</w:t>
      </w:r>
      <w:proofErr w:type="spellEnd"/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 </w:t>
      </w:r>
      <w:r w:rsidR="00912180" w:rsidRPr="00074B52">
        <w:rPr>
          <w:rFonts w:ascii="Times New Roman" w:hAnsi="Times New Roman" w:cs="Times New Roman"/>
          <w:color w:val="auto"/>
        </w:rPr>
        <w:t>koji</w:t>
      </w:r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 </w:t>
      </w:r>
      <w:r w:rsidR="00912180" w:rsidRPr="00074B52">
        <w:rPr>
          <w:rFonts w:ascii="Times New Roman" w:hAnsi="Times New Roman" w:cs="Times New Roman"/>
          <w:color w:val="auto"/>
        </w:rPr>
        <w:t>je</w:t>
      </w:r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 </w:t>
      </w:r>
      <w:proofErr w:type="spellStart"/>
      <w:r w:rsidR="00912180" w:rsidRPr="00074B52">
        <w:rPr>
          <w:rFonts w:ascii="Times New Roman" w:hAnsi="Times New Roman" w:cs="Times New Roman"/>
          <w:color w:val="auto"/>
        </w:rPr>
        <w:t>ure</w:t>
      </w:r>
      <w:proofErr w:type="spellEnd"/>
      <w:r w:rsidR="00912180" w:rsidRPr="0077280D">
        <w:rPr>
          <w:rFonts w:ascii="Times New Roman" w:hAnsi="Times New Roman" w:cs="Times New Roman"/>
          <w:color w:val="auto"/>
          <w:lang w:val="sr-Latn-CS"/>
        </w:rPr>
        <w:t>đ</w:t>
      </w:r>
      <w:proofErr w:type="spellStart"/>
      <w:r w:rsidR="00912180" w:rsidRPr="00074B52">
        <w:rPr>
          <w:rFonts w:ascii="Times New Roman" w:hAnsi="Times New Roman" w:cs="Times New Roman"/>
          <w:color w:val="auto"/>
        </w:rPr>
        <w:t>en</w:t>
      </w:r>
      <w:proofErr w:type="spellEnd"/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 </w:t>
      </w:r>
      <w:proofErr w:type="spellStart"/>
      <w:r w:rsidR="00912180" w:rsidRPr="00074B52">
        <w:rPr>
          <w:rFonts w:ascii="Times New Roman" w:hAnsi="Times New Roman" w:cs="Times New Roman"/>
          <w:color w:val="auto"/>
        </w:rPr>
        <w:t>Pravilima</w:t>
      </w:r>
      <w:proofErr w:type="spellEnd"/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 </w:t>
      </w:r>
      <w:proofErr w:type="spellStart"/>
      <w:r w:rsidR="00912180" w:rsidRPr="00074B52">
        <w:rPr>
          <w:rFonts w:ascii="Times New Roman" w:hAnsi="Times New Roman" w:cs="Times New Roman"/>
          <w:color w:val="auto"/>
        </w:rPr>
        <w:t>akreditacije</w:t>
      </w:r>
      <w:proofErr w:type="spellEnd"/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 (</w:t>
      </w:r>
      <w:proofErr w:type="spellStart"/>
      <w:r w:rsidR="00912180" w:rsidRPr="00074B52">
        <w:rPr>
          <w:rFonts w:ascii="Times New Roman" w:hAnsi="Times New Roman" w:cs="Times New Roman"/>
          <w:color w:val="auto"/>
        </w:rPr>
        <w:t>javno</w:t>
      </w:r>
      <w:proofErr w:type="spellEnd"/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 </w:t>
      </w:r>
      <w:proofErr w:type="spellStart"/>
      <w:r w:rsidR="00912180" w:rsidRPr="00074B52">
        <w:rPr>
          <w:rFonts w:ascii="Times New Roman" w:hAnsi="Times New Roman" w:cs="Times New Roman"/>
          <w:color w:val="auto"/>
        </w:rPr>
        <w:t>dostupnim</w:t>
      </w:r>
      <w:proofErr w:type="spellEnd"/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 </w:t>
      </w:r>
      <w:proofErr w:type="spellStart"/>
      <w:r w:rsidR="00912180" w:rsidRPr="00074B52">
        <w:rPr>
          <w:rFonts w:ascii="Times New Roman" w:hAnsi="Times New Roman" w:cs="Times New Roman"/>
          <w:color w:val="auto"/>
        </w:rPr>
        <w:t>na</w:t>
      </w:r>
      <w:proofErr w:type="spellEnd"/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 </w:t>
      </w:r>
      <w:r w:rsidR="00912180" w:rsidRPr="00074B52">
        <w:rPr>
          <w:rFonts w:ascii="Times New Roman" w:hAnsi="Times New Roman" w:cs="Times New Roman"/>
          <w:color w:val="auto"/>
        </w:rPr>
        <w:t>internet</w:t>
      </w:r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 </w:t>
      </w:r>
      <w:proofErr w:type="spellStart"/>
      <w:r w:rsidR="00912180" w:rsidRPr="00074B52">
        <w:rPr>
          <w:rFonts w:ascii="Times New Roman" w:hAnsi="Times New Roman" w:cs="Times New Roman"/>
          <w:color w:val="auto"/>
        </w:rPr>
        <w:t>stranici</w:t>
      </w:r>
      <w:proofErr w:type="spellEnd"/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 </w:t>
      </w:r>
      <w:r w:rsidR="00912180" w:rsidRPr="00074B52">
        <w:rPr>
          <w:rFonts w:ascii="Times New Roman" w:hAnsi="Times New Roman" w:cs="Times New Roman"/>
          <w:color w:val="auto"/>
        </w:rPr>
        <w:t>ATCG</w:t>
      </w:r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 </w:t>
      </w:r>
      <w:r w:rsidR="00912180" w:rsidRPr="00074B52">
        <w:rPr>
          <w:rFonts w:ascii="Times New Roman" w:hAnsi="Times New Roman" w:cs="Times New Roman"/>
          <w:color w:val="auto"/>
        </w:rPr>
        <w:t>www</w:t>
      </w:r>
      <w:r w:rsidR="00912180" w:rsidRPr="0077280D">
        <w:rPr>
          <w:rFonts w:ascii="Times New Roman" w:hAnsi="Times New Roman" w:cs="Times New Roman"/>
          <w:color w:val="auto"/>
          <w:lang w:val="sr-Latn-CS"/>
        </w:rPr>
        <w:t>.</w:t>
      </w:r>
      <w:proofErr w:type="spellStart"/>
      <w:r w:rsidR="00912180" w:rsidRPr="00074B52">
        <w:rPr>
          <w:rFonts w:ascii="Times New Roman" w:hAnsi="Times New Roman" w:cs="Times New Roman"/>
          <w:color w:val="auto"/>
        </w:rPr>
        <w:t>akreditacija</w:t>
      </w:r>
      <w:proofErr w:type="spellEnd"/>
      <w:r w:rsidR="00912180" w:rsidRPr="0077280D">
        <w:rPr>
          <w:rFonts w:ascii="Times New Roman" w:hAnsi="Times New Roman" w:cs="Times New Roman"/>
          <w:color w:val="auto"/>
          <w:lang w:val="sr-Latn-CS"/>
        </w:rPr>
        <w:t>.</w:t>
      </w:r>
      <w:r w:rsidR="00912180" w:rsidRPr="00074B52">
        <w:rPr>
          <w:rFonts w:ascii="Times New Roman" w:hAnsi="Times New Roman" w:cs="Times New Roman"/>
          <w:color w:val="auto"/>
        </w:rPr>
        <w:t>me</w:t>
      </w:r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), </w:t>
      </w:r>
      <w:proofErr w:type="spellStart"/>
      <w:r w:rsidR="00912180" w:rsidRPr="00074B52">
        <w:rPr>
          <w:rFonts w:ascii="Times New Roman" w:hAnsi="Times New Roman" w:cs="Times New Roman"/>
          <w:color w:val="auto"/>
        </w:rPr>
        <w:t>pozivanje</w:t>
      </w:r>
      <w:proofErr w:type="spellEnd"/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 </w:t>
      </w:r>
      <w:proofErr w:type="spellStart"/>
      <w:r w:rsidR="00912180" w:rsidRPr="00074B52">
        <w:rPr>
          <w:rFonts w:ascii="Times New Roman" w:hAnsi="Times New Roman" w:cs="Times New Roman"/>
          <w:color w:val="auto"/>
        </w:rPr>
        <w:t>na</w:t>
      </w:r>
      <w:proofErr w:type="spellEnd"/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 </w:t>
      </w:r>
      <w:proofErr w:type="spellStart"/>
      <w:r w:rsidR="00912180" w:rsidRPr="00074B52">
        <w:rPr>
          <w:rFonts w:ascii="Times New Roman" w:hAnsi="Times New Roman" w:cs="Times New Roman"/>
          <w:color w:val="auto"/>
        </w:rPr>
        <w:t>akreditaciju</w:t>
      </w:r>
      <w:proofErr w:type="spellEnd"/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, </w:t>
      </w:r>
      <w:proofErr w:type="spellStart"/>
      <w:r w:rsidR="00912180" w:rsidRPr="00074B52">
        <w:rPr>
          <w:rFonts w:ascii="Times New Roman" w:hAnsi="Times New Roman" w:cs="Times New Roman"/>
          <w:color w:val="auto"/>
        </w:rPr>
        <w:t>odr</w:t>
      </w:r>
      <w:proofErr w:type="spellEnd"/>
      <w:r w:rsidR="00912180" w:rsidRPr="0077280D">
        <w:rPr>
          <w:rFonts w:ascii="Times New Roman" w:hAnsi="Times New Roman" w:cs="Times New Roman"/>
          <w:color w:val="auto"/>
          <w:lang w:val="sr-Latn-CS"/>
        </w:rPr>
        <w:t>ž</w:t>
      </w:r>
      <w:proofErr w:type="spellStart"/>
      <w:r w:rsidR="00912180" w:rsidRPr="00074B52">
        <w:rPr>
          <w:rFonts w:ascii="Times New Roman" w:hAnsi="Times New Roman" w:cs="Times New Roman"/>
          <w:color w:val="auto"/>
        </w:rPr>
        <w:t>avanje</w:t>
      </w:r>
      <w:proofErr w:type="spellEnd"/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 </w:t>
      </w:r>
      <w:proofErr w:type="spellStart"/>
      <w:r w:rsidR="00912180" w:rsidRPr="00074B52">
        <w:rPr>
          <w:rFonts w:ascii="Times New Roman" w:hAnsi="Times New Roman" w:cs="Times New Roman"/>
          <w:color w:val="auto"/>
        </w:rPr>
        <w:t>akreditacije</w:t>
      </w:r>
      <w:proofErr w:type="spellEnd"/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 </w:t>
      </w:r>
      <w:r w:rsidR="00912180" w:rsidRPr="00074B52">
        <w:rPr>
          <w:rFonts w:ascii="Times New Roman" w:hAnsi="Times New Roman" w:cs="Times New Roman"/>
          <w:color w:val="auto"/>
        </w:rPr>
        <w:t>u</w:t>
      </w:r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 </w:t>
      </w:r>
      <w:proofErr w:type="spellStart"/>
      <w:r w:rsidR="00912180" w:rsidRPr="00074B52">
        <w:rPr>
          <w:rFonts w:ascii="Times New Roman" w:hAnsi="Times New Roman" w:cs="Times New Roman"/>
          <w:color w:val="auto"/>
        </w:rPr>
        <w:t>ciklusu</w:t>
      </w:r>
      <w:proofErr w:type="spellEnd"/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 </w:t>
      </w:r>
      <w:proofErr w:type="spellStart"/>
      <w:r w:rsidR="00912180" w:rsidRPr="00074B52">
        <w:rPr>
          <w:rFonts w:ascii="Times New Roman" w:hAnsi="Times New Roman" w:cs="Times New Roman"/>
          <w:color w:val="auto"/>
        </w:rPr>
        <w:t>akreditacije</w:t>
      </w:r>
      <w:proofErr w:type="spellEnd"/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, </w:t>
      </w:r>
      <w:proofErr w:type="spellStart"/>
      <w:r w:rsidR="00912180" w:rsidRPr="00074B52">
        <w:rPr>
          <w:rFonts w:ascii="Times New Roman" w:hAnsi="Times New Roman" w:cs="Times New Roman"/>
          <w:color w:val="auto"/>
        </w:rPr>
        <w:t>tro</w:t>
      </w:r>
      <w:proofErr w:type="spellEnd"/>
      <w:r w:rsidR="00912180" w:rsidRPr="0077280D">
        <w:rPr>
          <w:rFonts w:ascii="Times New Roman" w:hAnsi="Times New Roman" w:cs="Times New Roman"/>
          <w:color w:val="auto"/>
          <w:lang w:val="sr-Latn-CS"/>
        </w:rPr>
        <w:t>š</w:t>
      </w:r>
      <w:proofErr w:type="spellStart"/>
      <w:r w:rsidR="00912180" w:rsidRPr="00074B52">
        <w:rPr>
          <w:rFonts w:ascii="Times New Roman" w:hAnsi="Times New Roman" w:cs="Times New Roman"/>
          <w:color w:val="auto"/>
        </w:rPr>
        <w:t>kove</w:t>
      </w:r>
      <w:proofErr w:type="spellEnd"/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 </w:t>
      </w:r>
      <w:proofErr w:type="spellStart"/>
      <w:r w:rsidR="00912180" w:rsidRPr="00074B52">
        <w:rPr>
          <w:rFonts w:ascii="Times New Roman" w:hAnsi="Times New Roman" w:cs="Times New Roman"/>
          <w:color w:val="auto"/>
        </w:rPr>
        <w:t>akreditacije</w:t>
      </w:r>
      <w:proofErr w:type="spellEnd"/>
      <w:r w:rsidR="00912180" w:rsidRPr="0077280D">
        <w:rPr>
          <w:rFonts w:ascii="Times New Roman" w:hAnsi="Times New Roman" w:cs="Times New Roman"/>
          <w:color w:val="auto"/>
          <w:lang w:val="sr-Latn-CS"/>
        </w:rPr>
        <w:t xml:space="preserve">. </w:t>
      </w:r>
    </w:p>
    <w:p w14:paraId="78F43616" w14:textId="77777777" w:rsidR="00912180" w:rsidRPr="0077280D" w:rsidRDefault="00912180" w:rsidP="00127155">
      <w:pPr>
        <w:pStyle w:val="Default"/>
        <w:jc w:val="center"/>
        <w:rPr>
          <w:rFonts w:ascii="Times New Roman" w:hAnsi="Times New Roman" w:cs="Times New Roman"/>
          <w:color w:val="auto"/>
          <w:lang w:val="sr-Latn-CS"/>
        </w:rPr>
      </w:pPr>
    </w:p>
    <w:p w14:paraId="656E1F1D" w14:textId="3039B7F8" w:rsidR="00127155" w:rsidRPr="0077280D" w:rsidRDefault="00127155" w:rsidP="00127155">
      <w:pPr>
        <w:pStyle w:val="Default"/>
        <w:jc w:val="center"/>
        <w:rPr>
          <w:rFonts w:ascii="Times New Roman" w:hAnsi="Times New Roman" w:cs="Times New Roman"/>
          <w:color w:val="auto"/>
          <w:lang w:val="sr-Latn-CS"/>
        </w:rPr>
      </w:pPr>
      <w:r w:rsidRPr="0077280D">
        <w:rPr>
          <w:rFonts w:ascii="Times New Roman" w:hAnsi="Times New Roman" w:cs="Times New Roman"/>
          <w:color w:val="auto"/>
          <w:lang w:val="sr-Latn-CS"/>
        </w:rPr>
        <w:t>Č</w:t>
      </w:r>
      <w:r w:rsidRPr="00074B52">
        <w:rPr>
          <w:rFonts w:ascii="Times New Roman" w:hAnsi="Times New Roman" w:cs="Times New Roman"/>
          <w:color w:val="auto"/>
          <w:lang w:val="pl-PL"/>
        </w:rPr>
        <w:t>lan</w:t>
      </w:r>
      <w:r w:rsidRPr="0077280D">
        <w:rPr>
          <w:rFonts w:ascii="Times New Roman" w:hAnsi="Times New Roman" w:cs="Times New Roman"/>
          <w:color w:val="auto"/>
          <w:lang w:val="sr-Latn-CS"/>
        </w:rPr>
        <w:t xml:space="preserve"> 2 </w:t>
      </w:r>
    </w:p>
    <w:p w14:paraId="4CAC8C87" w14:textId="77777777" w:rsidR="00127155" w:rsidRPr="0077280D" w:rsidRDefault="00127155" w:rsidP="00127155">
      <w:pPr>
        <w:pStyle w:val="Default"/>
        <w:jc w:val="center"/>
        <w:rPr>
          <w:rFonts w:ascii="Times New Roman" w:hAnsi="Times New Roman" w:cs="Times New Roman"/>
          <w:color w:val="auto"/>
          <w:sz w:val="10"/>
          <w:szCs w:val="10"/>
          <w:lang w:val="sr-Latn-CS"/>
        </w:rPr>
      </w:pPr>
    </w:p>
    <w:p w14:paraId="1297ED97" w14:textId="36E79C79" w:rsidR="00127155" w:rsidRPr="0077280D" w:rsidRDefault="00127155" w:rsidP="00074B52">
      <w:pPr>
        <w:jc w:val="both"/>
        <w:rPr>
          <w:lang w:val="pl-PL"/>
        </w:rPr>
      </w:pPr>
      <w:r w:rsidRPr="00074B52">
        <w:rPr>
          <w:lang w:val="pl-PL"/>
        </w:rPr>
        <w:t>ATCG</w:t>
      </w:r>
      <w:r w:rsidRPr="0077280D">
        <w:rPr>
          <w:lang w:val="sr-Latn-CS"/>
        </w:rPr>
        <w:t xml:space="preserve"> ć</w:t>
      </w:r>
      <w:r w:rsidRPr="00074B52">
        <w:rPr>
          <w:lang w:val="pl-PL"/>
        </w:rPr>
        <w:t>e</w:t>
      </w:r>
      <w:r w:rsidRPr="0077280D">
        <w:rPr>
          <w:lang w:val="sr-Latn-CS"/>
        </w:rPr>
        <w:t xml:space="preserve"> </w:t>
      </w:r>
      <w:r w:rsidRPr="00074B52">
        <w:rPr>
          <w:lang w:val="pl-PL"/>
        </w:rPr>
        <w:t>dodjeliti</w:t>
      </w:r>
      <w:r w:rsidRPr="0077280D">
        <w:rPr>
          <w:lang w:val="sr-Latn-CS"/>
        </w:rPr>
        <w:t>/</w:t>
      </w:r>
      <w:r w:rsidRPr="00074B52">
        <w:rPr>
          <w:lang w:val="pl-PL"/>
        </w:rPr>
        <w:t>odr</w:t>
      </w:r>
      <w:r w:rsidRPr="0077280D">
        <w:rPr>
          <w:lang w:val="sr-Latn-CS"/>
        </w:rPr>
        <w:t>ž</w:t>
      </w:r>
      <w:r w:rsidRPr="00074B52">
        <w:rPr>
          <w:lang w:val="pl-PL"/>
        </w:rPr>
        <w:t>avati</w:t>
      </w:r>
      <w:r w:rsidRPr="0077280D">
        <w:rPr>
          <w:lang w:val="sr-Latn-CS"/>
        </w:rPr>
        <w:t xml:space="preserve">, </w:t>
      </w:r>
      <w:r w:rsidRPr="00074B52">
        <w:rPr>
          <w:lang w:val="pl-PL"/>
        </w:rPr>
        <w:t>obnavljati</w:t>
      </w:r>
      <w:r w:rsidRPr="0077280D">
        <w:rPr>
          <w:lang w:val="sr-Latn-CS"/>
        </w:rPr>
        <w:t xml:space="preserve"> </w:t>
      </w:r>
      <w:r w:rsidRPr="00074B52">
        <w:rPr>
          <w:lang w:val="pl-PL"/>
        </w:rPr>
        <w:t>i</w:t>
      </w:r>
      <w:r w:rsidRPr="0077280D">
        <w:rPr>
          <w:lang w:val="sr-Latn-CS"/>
        </w:rPr>
        <w:t xml:space="preserve"> </w:t>
      </w:r>
      <w:r w:rsidRPr="00074B52">
        <w:rPr>
          <w:lang w:val="pl-PL"/>
        </w:rPr>
        <w:t>vr</w:t>
      </w:r>
      <w:r w:rsidRPr="0077280D">
        <w:rPr>
          <w:lang w:val="sr-Latn-CS"/>
        </w:rPr>
        <w:t>š</w:t>
      </w:r>
      <w:r w:rsidRPr="00074B52">
        <w:rPr>
          <w:lang w:val="pl-PL"/>
        </w:rPr>
        <w:t>iti</w:t>
      </w:r>
      <w:r w:rsidRPr="0077280D">
        <w:rPr>
          <w:lang w:val="sr-Latn-CS"/>
        </w:rPr>
        <w:t xml:space="preserve"> </w:t>
      </w:r>
      <w:r w:rsidRPr="00074B52">
        <w:rPr>
          <w:lang w:val="pl-PL"/>
        </w:rPr>
        <w:t>izmjene</w:t>
      </w:r>
      <w:r w:rsidRPr="0077280D">
        <w:rPr>
          <w:lang w:val="sr-Latn-CS"/>
        </w:rPr>
        <w:t xml:space="preserve"> </w:t>
      </w:r>
      <w:r w:rsidRPr="00074B52">
        <w:rPr>
          <w:lang w:val="pl-PL"/>
        </w:rPr>
        <w:t>u</w:t>
      </w:r>
      <w:r w:rsidRPr="0077280D">
        <w:rPr>
          <w:lang w:val="sr-Latn-CS"/>
        </w:rPr>
        <w:t xml:space="preserve"> </w:t>
      </w:r>
      <w:r w:rsidRPr="00074B52">
        <w:rPr>
          <w:lang w:val="pl-PL"/>
        </w:rPr>
        <w:t>dodjeljenoj</w:t>
      </w:r>
      <w:r w:rsidRPr="0077280D">
        <w:rPr>
          <w:lang w:val="sr-Latn-CS"/>
        </w:rPr>
        <w:t xml:space="preserve"> </w:t>
      </w:r>
      <w:r w:rsidRPr="00074B52">
        <w:rPr>
          <w:lang w:val="pl-PL"/>
        </w:rPr>
        <w:t>akreditaciji</w:t>
      </w:r>
      <w:r w:rsidRPr="0077280D">
        <w:rPr>
          <w:lang w:val="sr-Latn-CS"/>
        </w:rPr>
        <w:t xml:space="preserve"> </w:t>
      </w:r>
      <w:r w:rsidRPr="00074B52">
        <w:rPr>
          <w:lang w:val="pl-PL"/>
        </w:rPr>
        <w:t>na</w:t>
      </w:r>
      <w:r w:rsidRPr="0077280D">
        <w:rPr>
          <w:lang w:val="sr-Latn-CS"/>
        </w:rPr>
        <w:t xml:space="preserve"> </w:t>
      </w:r>
      <w:r w:rsidRPr="00074B52">
        <w:rPr>
          <w:lang w:val="pl-PL"/>
        </w:rPr>
        <w:t>zahtjev</w:t>
      </w:r>
      <w:r w:rsidRPr="0077280D">
        <w:rPr>
          <w:lang w:val="sr-Latn-CS"/>
        </w:rPr>
        <w:t xml:space="preserve"> </w:t>
      </w:r>
      <w:r w:rsidR="00855D22" w:rsidRPr="00074B52">
        <w:rPr>
          <w:bCs/>
          <w:lang w:val="sr-Latn-CS"/>
        </w:rPr>
        <w:t xml:space="preserve">TOU </w:t>
      </w:r>
      <w:r w:rsidRPr="0077280D">
        <w:rPr>
          <w:lang w:val="sr-Latn-CS"/>
        </w:rPr>
        <w:t xml:space="preserve"> </w:t>
      </w:r>
      <w:r w:rsidRPr="00074B52">
        <w:rPr>
          <w:lang w:val="pl-PL"/>
        </w:rPr>
        <w:t>ukoliko</w:t>
      </w:r>
      <w:r w:rsidRPr="0077280D">
        <w:rPr>
          <w:lang w:val="sr-Latn-CS"/>
        </w:rPr>
        <w:t xml:space="preserve"> </w:t>
      </w:r>
      <w:r w:rsidR="00855D22" w:rsidRPr="00074B52">
        <w:rPr>
          <w:bCs/>
          <w:lang w:val="sr-Latn-CS"/>
        </w:rPr>
        <w:t xml:space="preserve">TOU </w:t>
      </w:r>
      <w:r w:rsidRPr="00074B52">
        <w:rPr>
          <w:bCs/>
          <w:lang w:val="sr-Latn-CS"/>
        </w:rPr>
        <w:t xml:space="preserve"> </w:t>
      </w:r>
      <w:r w:rsidRPr="00074B52">
        <w:rPr>
          <w:lang w:val="pl-PL"/>
        </w:rPr>
        <w:t>ispunjava</w:t>
      </w:r>
      <w:r w:rsidRPr="0077280D">
        <w:rPr>
          <w:lang w:val="sr-Latn-CS"/>
        </w:rPr>
        <w:t xml:space="preserve"> </w:t>
      </w:r>
      <w:r w:rsidRPr="00074B52">
        <w:rPr>
          <w:lang w:val="pl-PL"/>
        </w:rPr>
        <w:t>zahtjeve</w:t>
      </w:r>
      <w:r w:rsidRPr="0077280D">
        <w:rPr>
          <w:lang w:val="sr-Latn-CS"/>
        </w:rPr>
        <w:t xml:space="preserve"> </w:t>
      </w:r>
      <w:r w:rsidRPr="00074B52">
        <w:rPr>
          <w:lang w:val="pl-PL"/>
        </w:rPr>
        <w:t>za</w:t>
      </w:r>
      <w:r w:rsidRPr="0077280D">
        <w:rPr>
          <w:lang w:val="sr-Latn-CS"/>
        </w:rPr>
        <w:t xml:space="preserve"> </w:t>
      </w:r>
      <w:r w:rsidRPr="00074B52">
        <w:rPr>
          <w:lang w:val="pl-PL"/>
        </w:rPr>
        <w:t>kompetentnost</w:t>
      </w:r>
      <w:r w:rsidRPr="0077280D">
        <w:rPr>
          <w:lang w:val="sr-Latn-CS"/>
        </w:rPr>
        <w:t xml:space="preserve"> </w:t>
      </w:r>
      <w:r w:rsidRPr="00074B52">
        <w:rPr>
          <w:lang w:val="pl-PL"/>
        </w:rPr>
        <w:t>prema</w:t>
      </w:r>
      <w:r w:rsidRPr="0077280D">
        <w:rPr>
          <w:lang w:val="sr-Latn-CS"/>
        </w:rPr>
        <w:t xml:space="preserve"> </w:t>
      </w:r>
      <w:r w:rsidRPr="00074B52">
        <w:rPr>
          <w:lang w:val="pl-PL"/>
        </w:rPr>
        <w:t>pravilima</w:t>
      </w:r>
      <w:r w:rsidRPr="0077280D">
        <w:rPr>
          <w:lang w:val="sr-Latn-CS"/>
        </w:rPr>
        <w:t xml:space="preserve"> </w:t>
      </w:r>
      <w:r w:rsidRPr="00074B52">
        <w:rPr>
          <w:lang w:val="pl-PL"/>
        </w:rPr>
        <w:lastRenderedPageBreak/>
        <w:t>akreditacije</w:t>
      </w:r>
      <w:r w:rsidRPr="0077280D">
        <w:rPr>
          <w:lang w:val="sr-Latn-CS"/>
        </w:rPr>
        <w:t xml:space="preserve"> </w:t>
      </w:r>
      <w:proofErr w:type="spellStart"/>
      <w:r w:rsidR="00855D22" w:rsidRPr="00074B52">
        <w:t>i</w:t>
      </w:r>
      <w:proofErr w:type="spellEnd"/>
      <w:r w:rsidR="00855D22" w:rsidRPr="0077280D">
        <w:rPr>
          <w:lang w:val="sr-Latn-CS"/>
        </w:rPr>
        <w:t xml:space="preserve"> </w:t>
      </w:r>
      <w:proofErr w:type="spellStart"/>
      <w:r w:rsidR="00855D22" w:rsidRPr="00074B52">
        <w:t>odgovaraju</w:t>
      </w:r>
      <w:proofErr w:type="spellEnd"/>
      <w:r w:rsidR="00855D22" w:rsidRPr="0077280D">
        <w:rPr>
          <w:lang w:val="sr-Latn-CS"/>
        </w:rPr>
        <w:t>ć</w:t>
      </w:r>
      <w:proofErr w:type="spellStart"/>
      <w:r w:rsidR="00855D22" w:rsidRPr="00074B52">
        <w:t>im</w:t>
      </w:r>
      <w:proofErr w:type="spellEnd"/>
      <w:r w:rsidR="00855D22" w:rsidRPr="0077280D">
        <w:rPr>
          <w:lang w:val="sr-Latn-CS"/>
        </w:rPr>
        <w:t xml:space="preserve"> </w:t>
      </w:r>
      <w:proofErr w:type="spellStart"/>
      <w:r w:rsidR="00855D22" w:rsidRPr="00074B52">
        <w:t>politikama</w:t>
      </w:r>
      <w:proofErr w:type="spellEnd"/>
      <w:r w:rsidR="00855D22" w:rsidRPr="0077280D">
        <w:rPr>
          <w:lang w:val="sr-Latn-CS"/>
        </w:rPr>
        <w:t xml:space="preserve"> </w:t>
      </w:r>
      <w:proofErr w:type="spellStart"/>
      <w:r w:rsidR="00855D22" w:rsidRPr="00074B52">
        <w:t>i</w:t>
      </w:r>
      <w:proofErr w:type="spellEnd"/>
      <w:r w:rsidR="00855D22" w:rsidRPr="0077280D">
        <w:rPr>
          <w:lang w:val="sr-Latn-CS"/>
        </w:rPr>
        <w:t xml:space="preserve"> </w:t>
      </w:r>
      <w:proofErr w:type="spellStart"/>
      <w:r w:rsidR="00855D22" w:rsidRPr="00074B52">
        <w:t>procedurama</w:t>
      </w:r>
      <w:proofErr w:type="spellEnd"/>
      <w:r w:rsidR="00855D22" w:rsidRPr="0077280D">
        <w:rPr>
          <w:lang w:val="sr-Latn-CS"/>
        </w:rPr>
        <w:t xml:space="preserve"> </w:t>
      </w:r>
      <w:r w:rsidR="00855D22" w:rsidRPr="00074B52">
        <w:t>ATCG</w:t>
      </w:r>
      <w:r w:rsidR="00E25C86" w:rsidRPr="0077280D">
        <w:rPr>
          <w:lang w:val="sr-Latn-CS"/>
        </w:rPr>
        <w:t xml:space="preserve"> </w:t>
      </w:r>
      <w:r w:rsidR="007373B5" w:rsidRPr="00074B52">
        <w:rPr>
          <w:lang w:val="pl-PL"/>
        </w:rPr>
        <w:t>i</w:t>
      </w:r>
      <w:r w:rsidR="007373B5" w:rsidRPr="0077280D">
        <w:rPr>
          <w:lang w:val="sr-Latn-CS"/>
        </w:rPr>
        <w:t xml:space="preserve"> </w:t>
      </w:r>
      <w:r w:rsidR="007373B5" w:rsidRPr="00074B52">
        <w:rPr>
          <w:lang w:val="pl-PL"/>
        </w:rPr>
        <w:t>odgovaraju</w:t>
      </w:r>
      <w:r w:rsidR="007373B5" w:rsidRPr="0077280D">
        <w:rPr>
          <w:lang w:val="sr-Latn-CS"/>
        </w:rPr>
        <w:t>ć</w:t>
      </w:r>
      <w:r w:rsidR="007373B5" w:rsidRPr="00074B52">
        <w:rPr>
          <w:lang w:val="pl-PL"/>
        </w:rPr>
        <w:t>im</w:t>
      </w:r>
      <w:r w:rsidRPr="0077280D">
        <w:rPr>
          <w:lang w:val="sr-Latn-CS"/>
        </w:rPr>
        <w:t xml:space="preserve"> </w:t>
      </w:r>
      <w:r w:rsidRPr="00074B52">
        <w:rPr>
          <w:lang w:val="pl-PL"/>
        </w:rPr>
        <w:t>me</w:t>
      </w:r>
      <w:r w:rsidRPr="0077280D">
        <w:rPr>
          <w:lang w:val="sr-Latn-CS"/>
        </w:rPr>
        <w:t>đ</w:t>
      </w:r>
      <w:r w:rsidRPr="00074B52">
        <w:rPr>
          <w:lang w:val="pl-PL"/>
        </w:rPr>
        <w:t>unarodnim</w:t>
      </w:r>
      <w:r w:rsidRPr="0077280D">
        <w:rPr>
          <w:lang w:val="sr-Latn-CS"/>
        </w:rPr>
        <w:t xml:space="preserve">, </w:t>
      </w:r>
      <w:r w:rsidRPr="00074B52">
        <w:rPr>
          <w:lang w:val="pl-PL"/>
        </w:rPr>
        <w:t>evropskim</w:t>
      </w:r>
      <w:r w:rsidRPr="0077280D">
        <w:rPr>
          <w:lang w:val="sr-Latn-CS"/>
        </w:rPr>
        <w:t xml:space="preserve"> </w:t>
      </w:r>
      <w:r w:rsidRPr="00074B52">
        <w:rPr>
          <w:lang w:val="pl-PL"/>
        </w:rPr>
        <w:t>i</w:t>
      </w:r>
      <w:r w:rsidRPr="0077280D">
        <w:rPr>
          <w:lang w:val="sr-Latn-CS"/>
        </w:rPr>
        <w:t xml:space="preserve"> </w:t>
      </w:r>
      <w:r w:rsidRPr="00074B52">
        <w:rPr>
          <w:lang w:val="pl-PL"/>
        </w:rPr>
        <w:t>nacionalnim</w:t>
      </w:r>
      <w:r w:rsidRPr="0077280D">
        <w:rPr>
          <w:lang w:val="sr-Latn-CS"/>
        </w:rPr>
        <w:t xml:space="preserve"> </w:t>
      </w:r>
      <w:r w:rsidRPr="00074B52">
        <w:rPr>
          <w:lang w:val="pl-PL"/>
        </w:rPr>
        <w:t>standardima</w:t>
      </w:r>
      <w:r w:rsidRPr="0077280D">
        <w:rPr>
          <w:lang w:val="sr-Latn-CS"/>
        </w:rPr>
        <w:t xml:space="preserve">. </w:t>
      </w:r>
      <w:r w:rsidRPr="00074B52">
        <w:rPr>
          <w:lang w:val="pl-PL"/>
        </w:rPr>
        <w:t xml:space="preserve">Obim dodjeljene akreditacije </w:t>
      </w:r>
      <w:r w:rsidR="007373B5" w:rsidRPr="00074B52">
        <w:rPr>
          <w:lang w:val="pl-PL"/>
        </w:rPr>
        <w:t>se navodi</w:t>
      </w:r>
      <w:r w:rsidRPr="00074B52">
        <w:rPr>
          <w:lang w:val="pl-PL"/>
        </w:rPr>
        <w:t xml:space="preserve"> u dodatku Sertifikata o akreditaciji.</w:t>
      </w:r>
    </w:p>
    <w:p w14:paraId="69826576" w14:textId="77777777" w:rsidR="00127155" w:rsidRPr="00074B52" w:rsidRDefault="00127155" w:rsidP="00127155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</w:p>
    <w:p w14:paraId="05952BC9" w14:textId="77777777" w:rsidR="00855D22" w:rsidRPr="00074B52" w:rsidRDefault="00855D22" w:rsidP="00127155">
      <w:pPr>
        <w:pStyle w:val="Default"/>
        <w:jc w:val="center"/>
        <w:rPr>
          <w:rFonts w:ascii="Times New Roman" w:hAnsi="Times New Roman" w:cs="Times New Roman"/>
          <w:b/>
          <w:color w:val="auto"/>
          <w:lang w:val="it-IT"/>
        </w:rPr>
      </w:pPr>
    </w:p>
    <w:p w14:paraId="4A7B5521" w14:textId="51B28F1D" w:rsidR="00127155" w:rsidRPr="00074B52" w:rsidRDefault="00127155" w:rsidP="00127155">
      <w:pPr>
        <w:pStyle w:val="Default"/>
        <w:jc w:val="center"/>
        <w:rPr>
          <w:rFonts w:ascii="Times New Roman" w:hAnsi="Times New Roman" w:cs="Times New Roman"/>
          <w:b/>
          <w:color w:val="auto"/>
          <w:lang w:val="it-IT"/>
        </w:rPr>
      </w:pPr>
      <w:r w:rsidRPr="00074B52">
        <w:rPr>
          <w:rFonts w:ascii="Times New Roman" w:hAnsi="Times New Roman" w:cs="Times New Roman"/>
          <w:b/>
          <w:color w:val="auto"/>
          <w:lang w:val="it-IT"/>
        </w:rPr>
        <w:t xml:space="preserve">Prava i obaveze </w:t>
      </w:r>
      <w:r w:rsidR="006C30DA" w:rsidRPr="00074B52">
        <w:rPr>
          <w:rFonts w:ascii="Times New Roman" w:hAnsi="Times New Roman" w:cs="Times New Roman"/>
          <w:b/>
          <w:bCs/>
          <w:color w:val="auto"/>
          <w:lang w:val="sr-Latn-CS"/>
        </w:rPr>
        <w:t>TOU</w:t>
      </w:r>
    </w:p>
    <w:p w14:paraId="787DB717" w14:textId="77777777" w:rsidR="00127155" w:rsidRPr="00074B52" w:rsidRDefault="00127155" w:rsidP="00127155">
      <w:pPr>
        <w:pStyle w:val="Default"/>
        <w:jc w:val="center"/>
        <w:rPr>
          <w:rFonts w:ascii="Times New Roman" w:hAnsi="Times New Roman" w:cs="Times New Roman"/>
          <w:b/>
          <w:color w:val="auto"/>
          <w:lang w:val="it-IT"/>
        </w:rPr>
      </w:pPr>
    </w:p>
    <w:p w14:paraId="09E5E0F9" w14:textId="77777777" w:rsidR="00127155" w:rsidRPr="0077280D" w:rsidRDefault="00127155" w:rsidP="00127155">
      <w:pPr>
        <w:pStyle w:val="Default"/>
        <w:jc w:val="center"/>
        <w:rPr>
          <w:rFonts w:ascii="Times New Roman" w:hAnsi="Times New Roman" w:cs="Times New Roman"/>
          <w:color w:val="auto"/>
          <w:lang w:val="it-IT"/>
        </w:rPr>
      </w:pPr>
      <w:r w:rsidRPr="0077280D">
        <w:rPr>
          <w:rFonts w:ascii="Times New Roman" w:hAnsi="Times New Roman" w:cs="Times New Roman"/>
          <w:color w:val="auto"/>
          <w:lang w:val="it-IT"/>
        </w:rPr>
        <w:t>Član 3</w:t>
      </w:r>
    </w:p>
    <w:p w14:paraId="52F46E6C" w14:textId="77777777" w:rsidR="00127155" w:rsidRPr="0077280D" w:rsidRDefault="00127155" w:rsidP="00127155">
      <w:pPr>
        <w:pStyle w:val="Default"/>
        <w:jc w:val="center"/>
        <w:rPr>
          <w:rFonts w:ascii="Times New Roman" w:hAnsi="Times New Roman" w:cs="Times New Roman"/>
          <w:color w:val="auto"/>
          <w:sz w:val="10"/>
          <w:szCs w:val="10"/>
          <w:lang w:val="it-IT"/>
        </w:rPr>
      </w:pPr>
    </w:p>
    <w:p w14:paraId="063D0765" w14:textId="4408C35D" w:rsidR="00127155" w:rsidRPr="0077280D" w:rsidRDefault="00127155" w:rsidP="00127155">
      <w:pPr>
        <w:pStyle w:val="Default"/>
        <w:jc w:val="both"/>
        <w:rPr>
          <w:rFonts w:ascii="Times New Roman" w:hAnsi="Times New Roman" w:cs="Times New Roman"/>
          <w:color w:val="auto"/>
          <w:lang w:val="it-IT"/>
        </w:rPr>
      </w:pPr>
      <w:r w:rsidRPr="0077280D">
        <w:rPr>
          <w:rFonts w:ascii="Times New Roman" w:hAnsi="Times New Roman" w:cs="Times New Roman"/>
          <w:color w:val="auto"/>
          <w:lang w:val="it-IT"/>
        </w:rPr>
        <w:t xml:space="preserve">Dodjelom akreditacije stiče pravo pozivanja na status </w:t>
      </w:r>
      <w:r w:rsidR="006C30DA" w:rsidRPr="0077280D">
        <w:rPr>
          <w:rFonts w:ascii="Times New Roman" w:hAnsi="Times New Roman" w:cs="Times New Roman"/>
          <w:color w:val="auto"/>
          <w:lang w:val="it-IT"/>
        </w:rPr>
        <w:t xml:space="preserve">akreditovanog TOU </w:t>
      </w:r>
      <w:r w:rsidRPr="0077280D">
        <w:rPr>
          <w:rFonts w:ascii="Times New Roman" w:hAnsi="Times New Roman" w:cs="Times New Roman"/>
          <w:color w:val="auto"/>
          <w:lang w:val="it-IT"/>
        </w:rPr>
        <w:t xml:space="preserve">odnosno korišćenja znaka akreditacije ATCG. </w:t>
      </w:r>
      <w:r w:rsidR="006B33BA" w:rsidRPr="00074B52">
        <w:rPr>
          <w:rFonts w:ascii="Times New Roman" w:hAnsi="Times New Roman" w:cs="Times New Roman"/>
          <w:bCs/>
          <w:color w:val="auto"/>
          <w:lang w:val="sr-Latn-CS"/>
        </w:rPr>
        <w:t>TOU</w:t>
      </w:r>
      <w:r w:rsidR="006B33BA" w:rsidRPr="0077280D">
        <w:rPr>
          <w:rFonts w:ascii="Times New Roman" w:hAnsi="Times New Roman" w:cs="Times New Roman"/>
          <w:color w:val="auto"/>
          <w:lang w:val="it-IT"/>
        </w:rPr>
        <w:t xml:space="preserve"> može da tvrdi da je akreditovano samo za onaj obim za koji je akreditacija dodjeljena </w:t>
      </w:r>
      <w:r w:rsidRPr="0077280D">
        <w:rPr>
          <w:rFonts w:ascii="Times New Roman" w:hAnsi="Times New Roman" w:cs="Times New Roman"/>
          <w:color w:val="auto"/>
          <w:lang w:val="it-IT"/>
        </w:rPr>
        <w:t xml:space="preserve">Pri tome, </w:t>
      </w:r>
      <w:r w:rsidR="006B33BA" w:rsidRPr="00074B52">
        <w:rPr>
          <w:rFonts w:ascii="Times New Roman" w:hAnsi="Times New Roman" w:cs="Times New Roman"/>
          <w:bCs/>
          <w:color w:val="auto"/>
          <w:lang w:val="sr-Latn-CS"/>
        </w:rPr>
        <w:t xml:space="preserve">TOU </w:t>
      </w:r>
      <w:r w:rsidRPr="0077280D">
        <w:rPr>
          <w:rFonts w:ascii="Times New Roman" w:hAnsi="Times New Roman" w:cs="Times New Roman"/>
          <w:color w:val="auto"/>
          <w:lang w:val="it-IT"/>
        </w:rPr>
        <w:t xml:space="preserve"> se mora pridržavati pravila ATCG </w:t>
      </w:r>
      <w:r w:rsidR="006D2914" w:rsidRPr="0077280D">
        <w:rPr>
          <w:rFonts w:ascii="Times New Roman" w:hAnsi="Times New Roman" w:cs="Times New Roman"/>
          <w:color w:val="auto"/>
          <w:lang w:val="it-IT"/>
        </w:rPr>
        <w:t>PA</w:t>
      </w:r>
      <w:r w:rsidRPr="0077280D">
        <w:rPr>
          <w:rFonts w:ascii="Times New Roman" w:hAnsi="Times New Roman" w:cs="Times New Roman"/>
          <w:color w:val="auto"/>
          <w:lang w:val="it-IT"/>
        </w:rPr>
        <w:t xml:space="preserve">.02 Pravila za korišćenje </w:t>
      </w:r>
      <w:r w:rsidR="006B33BA" w:rsidRPr="0077280D">
        <w:rPr>
          <w:rFonts w:ascii="Times New Roman" w:hAnsi="Times New Roman" w:cs="Times New Roman"/>
          <w:color w:val="auto"/>
          <w:lang w:val="it-IT"/>
        </w:rPr>
        <w:t xml:space="preserve">logotipa, </w:t>
      </w:r>
      <w:r w:rsidRPr="0077280D">
        <w:rPr>
          <w:rFonts w:ascii="Times New Roman" w:hAnsi="Times New Roman" w:cs="Times New Roman"/>
          <w:color w:val="auto"/>
          <w:lang w:val="it-IT"/>
        </w:rPr>
        <w:t>znaka akreditacije i pozivanje na akreditaciju</w:t>
      </w:r>
      <w:r w:rsidR="006B33BA" w:rsidRPr="0077280D">
        <w:rPr>
          <w:rFonts w:ascii="Times New Roman" w:hAnsi="Times New Roman" w:cs="Times New Roman"/>
          <w:color w:val="auto"/>
          <w:lang w:val="it-IT"/>
        </w:rPr>
        <w:t xml:space="preserve"> ( javno dostupnim na internet stranici ATCG www.akreditacija.me)</w:t>
      </w:r>
      <w:r w:rsidRPr="0077280D">
        <w:rPr>
          <w:rFonts w:ascii="Times New Roman" w:hAnsi="Times New Roman" w:cs="Times New Roman"/>
          <w:color w:val="auto"/>
          <w:lang w:val="it-IT"/>
        </w:rPr>
        <w:t xml:space="preserve">. </w:t>
      </w:r>
    </w:p>
    <w:p w14:paraId="64A5D06C" w14:textId="6EBD4FA8" w:rsidR="006B33BA" w:rsidRPr="0077280D" w:rsidRDefault="006B33BA" w:rsidP="00127155">
      <w:pPr>
        <w:pStyle w:val="Default"/>
        <w:jc w:val="both"/>
        <w:rPr>
          <w:rFonts w:ascii="Times New Roman" w:hAnsi="Times New Roman" w:cs="Times New Roman"/>
          <w:color w:val="auto"/>
          <w:lang w:val="it-IT"/>
        </w:rPr>
      </w:pPr>
    </w:p>
    <w:p w14:paraId="1AD4F980" w14:textId="77777777" w:rsidR="006B33BA" w:rsidRPr="00074B52" w:rsidRDefault="006B33BA" w:rsidP="006B33BA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>Član 4</w:t>
      </w:r>
    </w:p>
    <w:p w14:paraId="77746A74" w14:textId="77777777" w:rsidR="006B33BA" w:rsidRPr="00F43848" w:rsidRDefault="006B33BA" w:rsidP="006B33BA">
      <w:pPr>
        <w:pStyle w:val="Default"/>
        <w:jc w:val="center"/>
        <w:rPr>
          <w:rFonts w:ascii="Times New Roman" w:hAnsi="Times New Roman" w:cs="Times New Roman"/>
          <w:color w:val="auto"/>
          <w:sz w:val="10"/>
          <w:szCs w:val="10"/>
          <w:lang w:val="pl-PL"/>
        </w:rPr>
      </w:pPr>
    </w:p>
    <w:p w14:paraId="65F770A9" w14:textId="38005C3F" w:rsidR="006B33BA" w:rsidRPr="00074B52" w:rsidRDefault="006B33BA" w:rsidP="00481AC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bCs/>
          <w:color w:val="auto"/>
          <w:lang w:val="sr-Latn-CS"/>
        </w:rPr>
        <w:t>TOU</w:t>
      </w:r>
      <w:r w:rsidRPr="00074B52">
        <w:rPr>
          <w:rFonts w:ascii="Times New Roman" w:hAnsi="Times New Roman" w:cs="Times New Roman"/>
          <w:color w:val="auto"/>
          <w:lang w:val="pl-PL"/>
        </w:rPr>
        <w:t xml:space="preserve"> se obavezuje da kontinuirano ispunjava zahtjeve za akreditaciju za obim za koji </w:t>
      </w:r>
      <w:r w:rsidR="00CB4019" w:rsidRPr="00074B52">
        <w:rPr>
          <w:rFonts w:ascii="Times New Roman" w:hAnsi="Times New Roman" w:cs="Times New Roman"/>
          <w:color w:val="auto"/>
          <w:lang w:val="pl-PL"/>
        </w:rPr>
        <w:t xml:space="preserve">traži ili mu </w:t>
      </w:r>
      <w:r w:rsidRPr="00074B52">
        <w:rPr>
          <w:rFonts w:ascii="Times New Roman" w:hAnsi="Times New Roman" w:cs="Times New Roman"/>
          <w:color w:val="auto"/>
          <w:lang w:val="pl-PL"/>
        </w:rPr>
        <w:t>je dodjeljena  akreditacija,  te da se prilagođava izmjenama u zahtjevima za akreditaciju.</w:t>
      </w:r>
    </w:p>
    <w:p w14:paraId="1FB191AC" w14:textId="60C1D726" w:rsidR="00CB4019" w:rsidRPr="00074B52" w:rsidRDefault="006B33BA" w:rsidP="00481AC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bCs/>
          <w:color w:val="auto"/>
          <w:lang w:val="sr-Latn-CS"/>
        </w:rPr>
        <w:t>Ovlašćenim predstavnicima ATCG, TOU</w:t>
      </w:r>
      <w:r w:rsidRPr="00074B52">
        <w:rPr>
          <w:rFonts w:ascii="Times New Roman" w:hAnsi="Times New Roman" w:cs="Times New Roman"/>
          <w:color w:val="auto"/>
          <w:lang w:val="pl-PL"/>
        </w:rPr>
        <w:t xml:space="preserve"> mora</w:t>
      </w:r>
      <w:r w:rsidR="00481AC5" w:rsidRPr="00074B52">
        <w:rPr>
          <w:rFonts w:ascii="Times New Roman" w:hAnsi="Times New Roman" w:cs="Times New Roman"/>
          <w:color w:val="auto"/>
          <w:lang w:val="pl-PL"/>
        </w:rPr>
        <w:t>,</w:t>
      </w:r>
      <w:r w:rsidRPr="00074B52">
        <w:rPr>
          <w:rFonts w:ascii="Times New Roman" w:hAnsi="Times New Roman" w:cs="Times New Roman"/>
          <w:color w:val="auto"/>
          <w:lang w:val="pl-PL"/>
        </w:rPr>
        <w:t xml:space="preserve"> </w:t>
      </w:r>
      <w:r w:rsidR="00481AC5" w:rsidRPr="0077280D">
        <w:rPr>
          <w:rFonts w:ascii="Times New Roman" w:hAnsi="Times New Roman" w:cs="Times New Roman"/>
          <w:color w:val="auto"/>
          <w:lang w:val="pl-PL"/>
        </w:rPr>
        <w:t>u mjeri koliko je to neophodno za ocjenu ispunjenosti zahtjeva za akreditaciju</w:t>
      </w:r>
      <w:r w:rsidR="00481AC5" w:rsidRPr="00074B52">
        <w:rPr>
          <w:rFonts w:ascii="Times New Roman" w:hAnsi="Times New Roman" w:cs="Times New Roman"/>
          <w:color w:val="auto"/>
          <w:lang w:val="pl-PL"/>
        </w:rPr>
        <w:t xml:space="preserve">, </w:t>
      </w:r>
      <w:r w:rsidR="00CB4019" w:rsidRPr="00074B52">
        <w:rPr>
          <w:rFonts w:ascii="Times New Roman" w:hAnsi="Times New Roman" w:cs="Times New Roman"/>
          <w:color w:val="auto"/>
          <w:lang w:val="pl-PL"/>
        </w:rPr>
        <w:t>omogućiti praćenje usaglašenosti sa pravilima akr</w:t>
      </w:r>
      <w:r w:rsidR="00481AC5" w:rsidRPr="00074B52">
        <w:rPr>
          <w:rFonts w:ascii="Times New Roman" w:hAnsi="Times New Roman" w:cs="Times New Roman"/>
          <w:color w:val="auto"/>
          <w:lang w:val="pl-PL"/>
        </w:rPr>
        <w:t>e</w:t>
      </w:r>
      <w:r w:rsidR="00CB4019" w:rsidRPr="00074B52">
        <w:rPr>
          <w:rFonts w:ascii="Times New Roman" w:hAnsi="Times New Roman" w:cs="Times New Roman"/>
          <w:color w:val="auto"/>
          <w:lang w:val="pl-PL"/>
        </w:rPr>
        <w:t xml:space="preserve">ditacije i odgovarajućim kriterijumima za akreditaciju na način </w:t>
      </w:r>
      <w:r w:rsidR="004A0877">
        <w:rPr>
          <w:rFonts w:ascii="Times New Roman" w:hAnsi="Times New Roman" w:cs="Times New Roman"/>
          <w:color w:val="auto"/>
          <w:lang w:val="pl-PL"/>
        </w:rPr>
        <w:t>da</w:t>
      </w:r>
      <w:r w:rsidR="00CB4019" w:rsidRPr="00074B52">
        <w:rPr>
          <w:rFonts w:ascii="Times New Roman" w:hAnsi="Times New Roman" w:cs="Times New Roman"/>
          <w:color w:val="auto"/>
          <w:lang w:val="pl-PL"/>
        </w:rPr>
        <w:t>:</w:t>
      </w:r>
    </w:p>
    <w:p w14:paraId="365D3CB4" w14:textId="77777777" w:rsidR="00CB4019" w:rsidRPr="00074B52" w:rsidRDefault="00CB4019" w:rsidP="00481AC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14:paraId="6347D410" w14:textId="13837CFB" w:rsidR="00CB4019" w:rsidRPr="0077280D" w:rsidRDefault="00CB4019" w:rsidP="004A0877">
      <w:pPr>
        <w:pStyle w:val="ListParagraph"/>
        <w:numPr>
          <w:ilvl w:val="0"/>
          <w:numId w:val="5"/>
        </w:numPr>
        <w:ind w:left="284"/>
        <w:jc w:val="both"/>
        <w:rPr>
          <w:lang w:val="pl-PL"/>
        </w:rPr>
      </w:pPr>
      <w:r w:rsidRPr="0077280D">
        <w:rPr>
          <w:lang w:val="pl-PL"/>
        </w:rPr>
        <w:t>Obezbebjedi pristup osoblju ATCG, lokacijama, opremi, informacij</w:t>
      </w:r>
      <w:r w:rsidR="004A0877" w:rsidRPr="0077280D">
        <w:rPr>
          <w:lang w:val="pl-PL"/>
        </w:rPr>
        <w:t>ama, dokumentima i zapisima TOU</w:t>
      </w:r>
      <w:r w:rsidR="00481AC5" w:rsidRPr="0077280D">
        <w:rPr>
          <w:lang w:val="pl-PL"/>
        </w:rPr>
        <w:t>;</w:t>
      </w:r>
    </w:p>
    <w:p w14:paraId="48EDF53D" w14:textId="77777777" w:rsidR="00481AC5" w:rsidRPr="0077280D" w:rsidRDefault="00481AC5" w:rsidP="00481AC5">
      <w:pPr>
        <w:jc w:val="both"/>
        <w:rPr>
          <w:lang w:val="pl-PL"/>
        </w:rPr>
      </w:pPr>
    </w:p>
    <w:p w14:paraId="559F6704" w14:textId="049FCB0A" w:rsidR="00CB4019" w:rsidRPr="0077280D" w:rsidRDefault="004A0877" w:rsidP="004A0877">
      <w:pPr>
        <w:pStyle w:val="ListParagraph"/>
        <w:numPr>
          <w:ilvl w:val="0"/>
          <w:numId w:val="5"/>
        </w:numPr>
        <w:ind w:left="284"/>
        <w:jc w:val="both"/>
        <w:rPr>
          <w:lang w:val="pl-PL"/>
        </w:rPr>
      </w:pPr>
      <w:r w:rsidRPr="0077280D">
        <w:rPr>
          <w:lang w:val="pl-PL"/>
        </w:rPr>
        <w:t xml:space="preserve">Obezbjedi </w:t>
      </w:r>
      <w:r w:rsidR="00CB4019" w:rsidRPr="0077280D">
        <w:rPr>
          <w:lang w:val="pl-PL"/>
        </w:rPr>
        <w:t>da osoblje ATCG tokom prisustva na lokaciji TOU ili lokaciji njegovih klijenata za potrebe ocjenjivanja, radi u adekvatnim uslovima i da bude opremljeno adekvatnom ličnom zaštitnom opremom, ukoliko je takva neophodna, kako bi se smanjio rizik po zdravlje i bezbjednost osoblja ATCG na prihvatljiv nivo i kako bi se zadovoljili zakonski zahtjevi;</w:t>
      </w:r>
    </w:p>
    <w:p w14:paraId="567F213B" w14:textId="77777777" w:rsidR="00481AC5" w:rsidRPr="0077280D" w:rsidRDefault="00481AC5" w:rsidP="00481AC5">
      <w:pPr>
        <w:jc w:val="both"/>
        <w:rPr>
          <w:lang w:val="pl-PL"/>
        </w:rPr>
      </w:pPr>
    </w:p>
    <w:p w14:paraId="5F3FF24C" w14:textId="57C8D071" w:rsidR="00CB4019" w:rsidRPr="0077280D" w:rsidRDefault="00CB4019" w:rsidP="004A0877">
      <w:pPr>
        <w:pStyle w:val="ListParagraph"/>
        <w:numPr>
          <w:ilvl w:val="0"/>
          <w:numId w:val="5"/>
        </w:numPr>
        <w:ind w:left="284"/>
        <w:jc w:val="both"/>
        <w:rPr>
          <w:lang w:val="pl-PL"/>
        </w:rPr>
      </w:pPr>
      <w:r w:rsidRPr="0077280D">
        <w:rPr>
          <w:lang w:val="pl-PL"/>
        </w:rPr>
        <w:t>Obezbjedi pristup svim lokacijama gdje se obavljaju aktivnosti ocjenjivanja usaglašenosti iz obima akreditacije i osvjedočenja kod klijenata TOU, kada to zahtjeva ATCG</w:t>
      </w:r>
      <w:r w:rsidR="00481AC5" w:rsidRPr="0077280D">
        <w:rPr>
          <w:lang w:val="pl-PL"/>
        </w:rPr>
        <w:t>;</w:t>
      </w:r>
    </w:p>
    <w:p w14:paraId="4709B8EA" w14:textId="77777777" w:rsidR="00481AC5" w:rsidRPr="0077280D" w:rsidRDefault="00481AC5" w:rsidP="00481AC5">
      <w:pPr>
        <w:jc w:val="both"/>
        <w:rPr>
          <w:lang w:val="pl-PL"/>
        </w:rPr>
      </w:pPr>
    </w:p>
    <w:p w14:paraId="333F3264" w14:textId="4B55C48B" w:rsidR="00CB4019" w:rsidRPr="00395E90" w:rsidRDefault="00CB4019" w:rsidP="004A0877">
      <w:pPr>
        <w:pStyle w:val="ListParagraph"/>
        <w:numPr>
          <w:ilvl w:val="0"/>
          <w:numId w:val="5"/>
        </w:numPr>
        <w:ind w:left="284"/>
        <w:jc w:val="both"/>
        <w:rPr>
          <w:lang w:val="pl-PL"/>
        </w:rPr>
      </w:pPr>
      <w:r w:rsidRPr="00395E90">
        <w:rPr>
          <w:lang w:val="pl-PL"/>
        </w:rPr>
        <w:t>Stavi  na raspolaganje dokumenata i zapise koji se odnose na aktivnosti ocjenjivanja usaglašenosti iz obima akreditacije kada to ATCG zahtjeva, a u cilju omogućavanja realizacije oc</w:t>
      </w:r>
      <w:r w:rsidR="00074B52" w:rsidRPr="00395E90">
        <w:rPr>
          <w:lang w:val="pl-PL"/>
        </w:rPr>
        <w:t>j</w:t>
      </w:r>
      <w:r w:rsidRPr="00395E90">
        <w:rPr>
          <w:lang w:val="pl-PL"/>
        </w:rPr>
        <w:t>enjivanja i nadzornih aktivnosti</w:t>
      </w:r>
      <w:r w:rsidR="00481AC5" w:rsidRPr="00395E90">
        <w:rPr>
          <w:lang w:val="pl-PL"/>
        </w:rPr>
        <w:t>;</w:t>
      </w:r>
    </w:p>
    <w:p w14:paraId="2EC9A986" w14:textId="77777777" w:rsidR="00481AC5" w:rsidRPr="00395E90" w:rsidRDefault="00481AC5" w:rsidP="00481AC5">
      <w:pPr>
        <w:jc w:val="both"/>
        <w:rPr>
          <w:lang w:val="pl-PL"/>
        </w:rPr>
      </w:pPr>
    </w:p>
    <w:p w14:paraId="7BA71928" w14:textId="6F2D924E" w:rsidR="004A0877" w:rsidRPr="00395E90" w:rsidRDefault="004A0877" w:rsidP="00481AC5">
      <w:pPr>
        <w:pStyle w:val="ListParagraph"/>
        <w:numPr>
          <w:ilvl w:val="0"/>
          <w:numId w:val="5"/>
        </w:numPr>
        <w:ind w:left="284"/>
        <w:jc w:val="both"/>
        <w:rPr>
          <w:lang w:val="pl-PL"/>
        </w:rPr>
      </w:pPr>
      <w:r w:rsidRPr="00395E90">
        <w:rPr>
          <w:lang w:val="pl-PL"/>
        </w:rPr>
        <w:t xml:space="preserve">Organizuje </w:t>
      </w:r>
      <w:r w:rsidR="00CB4019" w:rsidRPr="00395E90">
        <w:rPr>
          <w:lang w:val="pl-PL"/>
        </w:rPr>
        <w:t>osvjedočenja u aktivnosti oc</w:t>
      </w:r>
      <w:r w:rsidR="00074B52" w:rsidRPr="00395E90">
        <w:rPr>
          <w:lang w:val="pl-PL"/>
        </w:rPr>
        <w:t>j</w:t>
      </w:r>
      <w:r w:rsidR="00CB4019" w:rsidRPr="00395E90">
        <w:rPr>
          <w:lang w:val="pl-PL"/>
        </w:rPr>
        <w:t>enjivanja usaglašenosti iz obima akreditacije kada to zaht</w:t>
      </w:r>
      <w:r w:rsidR="00074B52" w:rsidRPr="00395E90">
        <w:rPr>
          <w:lang w:val="pl-PL"/>
        </w:rPr>
        <w:t>j</w:t>
      </w:r>
      <w:r w:rsidR="00CB4019" w:rsidRPr="00395E90">
        <w:rPr>
          <w:lang w:val="pl-PL"/>
        </w:rPr>
        <w:t>eva AT</w:t>
      </w:r>
      <w:r w:rsidR="00481AC5" w:rsidRPr="00395E90">
        <w:rPr>
          <w:lang w:val="pl-PL"/>
        </w:rPr>
        <w:t>CG</w:t>
      </w:r>
      <w:r w:rsidR="00CB4019" w:rsidRPr="00395E90">
        <w:rPr>
          <w:lang w:val="pl-PL"/>
        </w:rPr>
        <w:t xml:space="preserve">; </w:t>
      </w:r>
    </w:p>
    <w:p w14:paraId="2521C531" w14:textId="77777777" w:rsidR="004A0877" w:rsidRPr="00395E90" w:rsidRDefault="004A0877" w:rsidP="004A0877">
      <w:pPr>
        <w:pStyle w:val="ListParagraph"/>
        <w:rPr>
          <w:lang w:val="pl-PL"/>
        </w:rPr>
      </w:pPr>
    </w:p>
    <w:p w14:paraId="447FD134" w14:textId="4A19676A" w:rsidR="00CB4019" w:rsidRPr="00074B52" w:rsidRDefault="00481AC5" w:rsidP="00481AC5">
      <w:pPr>
        <w:pStyle w:val="ListParagraph"/>
        <w:numPr>
          <w:ilvl w:val="0"/>
          <w:numId w:val="5"/>
        </w:numPr>
        <w:ind w:left="284"/>
        <w:jc w:val="both"/>
      </w:pPr>
      <w:proofErr w:type="spellStart"/>
      <w:r w:rsidRPr="00074B52">
        <w:lastRenderedPageBreak/>
        <w:t>Obezbjedi</w:t>
      </w:r>
      <w:proofErr w:type="spellEnd"/>
      <w:r w:rsidRPr="00074B52">
        <w:t xml:space="preserve"> </w:t>
      </w:r>
      <w:proofErr w:type="spellStart"/>
      <w:r w:rsidR="00CB4019" w:rsidRPr="00074B52">
        <w:t>važeć</w:t>
      </w:r>
      <w:r w:rsidRPr="00074B52">
        <w:t>i</w:t>
      </w:r>
      <w:proofErr w:type="spellEnd"/>
      <w:r w:rsidRPr="00074B52">
        <w:t xml:space="preserve"> </w:t>
      </w:r>
      <w:proofErr w:type="spellStart"/>
      <w:proofErr w:type="gramStart"/>
      <w:r w:rsidRPr="00074B52">
        <w:t>sporazum</w:t>
      </w:r>
      <w:proofErr w:type="spellEnd"/>
      <w:r w:rsidRPr="00074B52">
        <w:t xml:space="preserve"> </w:t>
      </w:r>
      <w:r w:rsidR="00CB4019" w:rsidRPr="00074B52">
        <w:t xml:space="preserve"> </w:t>
      </w:r>
      <w:proofErr w:type="spellStart"/>
      <w:r w:rsidR="00CB4019" w:rsidRPr="00074B52">
        <w:t>sa</w:t>
      </w:r>
      <w:proofErr w:type="spellEnd"/>
      <w:proofErr w:type="gramEnd"/>
      <w:r w:rsidR="00CB4019" w:rsidRPr="00074B52">
        <w:t xml:space="preserve"> </w:t>
      </w:r>
      <w:proofErr w:type="spellStart"/>
      <w:r w:rsidR="00CB4019" w:rsidRPr="00074B52">
        <w:t>svojim</w:t>
      </w:r>
      <w:proofErr w:type="spellEnd"/>
      <w:r w:rsidR="00CB4019" w:rsidRPr="00074B52">
        <w:t xml:space="preserve"> </w:t>
      </w:r>
      <w:proofErr w:type="spellStart"/>
      <w:r w:rsidR="00CB4019" w:rsidRPr="00074B52">
        <w:t>klijentima</w:t>
      </w:r>
      <w:proofErr w:type="spellEnd"/>
      <w:r w:rsidR="00CB4019" w:rsidRPr="00074B52">
        <w:t xml:space="preserve"> </w:t>
      </w:r>
      <w:proofErr w:type="spellStart"/>
      <w:r w:rsidR="00CB4019" w:rsidRPr="00074B52">
        <w:t>kojim</w:t>
      </w:r>
      <w:proofErr w:type="spellEnd"/>
      <w:r w:rsidR="00CB4019" w:rsidRPr="00074B52">
        <w:t xml:space="preserve"> </w:t>
      </w:r>
      <w:proofErr w:type="spellStart"/>
      <w:r w:rsidR="00CB4019" w:rsidRPr="00074B52">
        <w:t>ih</w:t>
      </w:r>
      <w:proofErr w:type="spellEnd"/>
      <w:r w:rsidR="00CB4019" w:rsidRPr="00074B52">
        <w:t xml:space="preserve"> </w:t>
      </w:r>
      <w:proofErr w:type="spellStart"/>
      <w:r w:rsidR="00CB4019" w:rsidRPr="00074B52">
        <w:t>obavezuje</w:t>
      </w:r>
      <w:proofErr w:type="spellEnd"/>
      <w:r w:rsidR="00CB4019" w:rsidRPr="00074B52">
        <w:t xml:space="preserve"> da </w:t>
      </w:r>
      <w:proofErr w:type="spellStart"/>
      <w:r w:rsidR="00CB4019" w:rsidRPr="00074B52">
        <w:t>obezb</w:t>
      </w:r>
      <w:r w:rsidRPr="00074B52">
        <w:t>j</w:t>
      </w:r>
      <w:r w:rsidR="00CB4019" w:rsidRPr="00074B52">
        <w:t>ede</w:t>
      </w:r>
      <w:proofErr w:type="spellEnd"/>
      <w:r w:rsidR="00CB4019" w:rsidRPr="00074B52">
        <w:t xml:space="preserve">, </w:t>
      </w:r>
      <w:proofErr w:type="spellStart"/>
      <w:r w:rsidR="00CB4019" w:rsidRPr="00074B52">
        <w:t>na</w:t>
      </w:r>
      <w:proofErr w:type="spellEnd"/>
      <w:r w:rsidR="00CB4019" w:rsidRPr="00074B52">
        <w:t xml:space="preserve"> </w:t>
      </w:r>
      <w:proofErr w:type="spellStart"/>
      <w:r w:rsidR="00CB4019" w:rsidRPr="00074B52">
        <w:t>zaht</w:t>
      </w:r>
      <w:r w:rsidRPr="00074B52">
        <w:t>j</w:t>
      </w:r>
      <w:r w:rsidR="00CB4019" w:rsidRPr="00074B52">
        <w:t>ev</w:t>
      </w:r>
      <w:proofErr w:type="spellEnd"/>
      <w:r w:rsidR="00CB4019" w:rsidRPr="00074B52">
        <w:t xml:space="preserve"> AT</w:t>
      </w:r>
      <w:r w:rsidRPr="00074B52">
        <w:t>CG</w:t>
      </w:r>
      <w:r w:rsidR="00CB4019" w:rsidRPr="00074B52">
        <w:t xml:space="preserve">, </w:t>
      </w:r>
      <w:proofErr w:type="spellStart"/>
      <w:r w:rsidR="00CB4019" w:rsidRPr="00074B52">
        <w:t>timovima</w:t>
      </w:r>
      <w:proofErr w:type="spellEnd"/>
      <w:r w:rsidR="00CB4019" w:rsidRPr="00074B52">
        <w:t xml:space="preserve"> za </w:t>
      </w:r>
      <w:proofErr w:type="spellStart"/>
      <w:r w:rsidR="00CB4019" w:rsidRPr="00074B52">
        <w:t>oc</w:t>
      </w:r>
      <w:r w:rsidRPr="00074B52">
        <w:t>j</w:t>
      </w:r>
      <w:r w:rsidR="00CB4019" w:rsidRPr="00074B52">
        <w:t>enjivanje</w:t>
      </w:r>
      <w:proofErr w:type="spellEnd"/>
      <w:r w:rsidR="00CB4019" w:rsidRPr="00074B52">
        <w:t xml:space="preserve"> </w:t>
      </w:r>
      <w:proofErr w:type="spellStart"/>
      <w:r w:rsidR="00CB4019" w:rsidRPr="00074B52">
        <w:t>pristup</w:t>
      </w:r>
      <w:proofErr w:type="spellEnd"/>
      <w:r w:rsidR="00CB4019" w:rsidRPr="00074B52">
        <w:t xml:space="preserve"> da bi se </w:t>
      </w:r>
      <w:proofErr w:type="spellStart"/>
      <w:r w:rsidR="00CB4019" w:rsidRPr="00074B52">
        <w:t>oc</w:t>
      </w:r>
      <w:r w:rsidRPr="00074B52">
        <w:t>j</w:t>
      </w:r>
      <w:r w:rsidR="00CB4019" w:rsidRPr="00074B52">
        <w:t>enile</w:t>
      </w:r>
      <w:proofErr w:type="spellEnd"/>
      <w:r w:rsidR="00CB4019" w:rsidRPr="00074B52">
        <w:t xml:space="preserve"> </w:t>
      </w:r>
      <w:proofErr w:type="spellStart"/>
      <w:r w:rsidR="00CB4019" w:rsidRPr="00074B52">
        <w:t>performanse</w:t>
      </w:r>
      <w:proofErr w:type="spellEnd"/>
      <w:r w:rsidR="00CB4019" w:rsidRPr="00074B52">
        <w:t xml:space="preserve"> TOU </w:t>
      </w:r>
      <w:proofErr w:type="spellStart"/>
      <w:r w:rsidR="00CB4019" w:rsidRPr="00074B52">
        <w:t>kada</w:t>
      </w:r>
      <w:proofErr w:type="spellEnd"/>
      <w:r w:rsidR="00CB4019" w:rsidRPr="00074B52">
        <w:t xml:space="preserve"> TOU </w:t>
      </w:r>
      <w:proofErr w:type="spellStart"/>
      <w:r w:rsidR="00CB4019" w:rsidRPr="00074B52">
        <w:t>sprovodi</w:t>
      </w:r>
      <w:proofErr w:type="spellEnd"/>
      <w:r w:rsidR="00CB4019" w:rsidRPr="00074B52">
        <w:t xml:space="preserve"> </w:t>
      </w:r>
      <w:proofErr w:type="spellStart"/>
      <w:r w:rsidR="00CB4019" w:rsidRPr="00074B52">
        <w:t>aktivnosti</w:t>
      </w:r>
      <w:proofErr w:type="spellEnd"/>
      <w:r w:rsidR="00CB4019" w:rsidRPr="00074B52">
        <w:t xml:space="preserve"> </w:t>
      </w:r>
      <w:proofErr w:type="spellStart"/>
      <w:r w:rsidR="00CB4019" w:rsidRPr="00074B52">
        <w:t>oc</w:t>
      </w:r>
      <w:r w:rsidRPr="00074B52">
        <w:t>j</w:t>
      </w:r>
      <w:r w:rsidR="00CB4019" w:rsidRPr="00074B52">
        <w:t>enjivanja</w:t>
      </w:r>
      <w:proofErr w:type="spellEnd"/>
      <w:r w:rsidR="00CB4019" w:rsidRPr="00074B52">
        <w:t xml:space="preserve"> </w:t>
      </w:r>
      <w:proofErr w:type="spellStart"/>
      <w:r w:rsidR="00CB4019" w:rsidRPr="00074B52">
        <w:t>usaglašenosti</w:t>
      </w:r>
      <w:proofErr w:type="spellEnd"/>
      <w:r w:rsidR="00CB4019" w:rsidRPr="00074B52">
        <w:t xml:space="preserve"> </w:t>
      </w:r>
      <w:proofErr w:type="spellStart"/>
      <w:r w:rsidR="00CB4019" w:rsidRPr="00074B52">
        <w:t>na</w:t>
      </w:r>
      <w:proofErr w:type="spellEnd"/>
      <w:r w:rsidR="00CB4019" w:rsidRPr="00074B52">
        <w:t xml:space="preserve"> </w:t>
      </w:r>
      <w:proofErr w:type="spellStart"/>
      <w:r w:rsidR="00CB4019" w:rsidRPr="00074B52">
        <w:t>lokaciji</w:t>
      </w:r>
      <w:proofErr w:type="spellEnd"/>
      <w:r w:rsidR="00CB4019" w:rsidRPr="00074B52">
        <w:t xml:space="preserve"> </w:t>
      </w:r>
      <w:proofErr w:type="spellStart"/>
      <w:r w:rsidR="00CB4019" w:rsidRPr="00074B52">
        <w:t>svog</w:t>
      </w:r>
      <w:proofErr w:type="spellEnd"/>
      <w:r w:rsidR="00CB4019" w:rsidRPr="00074B52">
        <w:t xml:space="preserve"> </w:t>
      </w:r>
      <w:proofErr w:type="spellStart"/>
      <w:r w:rsidR="00CB4019" w:rsidRPr="00074B52">
        <w:t>klijenta</w:t>
      </w:r>
      <w:proofErr w:type="spellEnd"/>
      <w:r w:rsidR="00FC0379" w:rsidRPr="00074B52">
        <w:t>.</w:t>
      </w:r>
    </w:p>
    <w:p w14:paraId="66F1827E" w14:textId="77777777" w:rsidR="00CB4019" w:rsidRPr="0077280D" w:rsidRDefault="00CB4019" w:rsidP="00481AC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AC57D4F" w14:textId="77777777" w:rsidR="00481AC5" w:rsidRPr="00074B52" w:rsidRDefault="00481AC5" w:rsidP="00481AC5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>Član 5</w:t>
      </w:r>
    </w:p>
    <w:p w14:paraId="5565095A" w14:textId="77777777" w:rsidR="00481AC5" w:rsidRPr="00F43848" w:rsidRDefault="00481AC5" w:rsidP="00481AC5">
      <w:pPr>
        <w:pStyle w:val="Default"/>
        <w:jc w:val="center"/>
        <w:rPr>
          <w:rFonts w:ascii="Times New Roman" w:hAnsi="Times New Roman" w:cs="Times New Roman"/>
          <w:color w:val="auto"/>
          <w:sz w:val="10"/>
          <w:szCs w:val="10"/>
          <w:lang w:val="pl-PL"/>
        </w:rPr>
      </w:pPr>
    </w:p>
    <w:p w14:paraId="2024B0BE" w14:textId="1629EA27" w:rsidR="00481AC5" w:rsidRPr="00074B52" w:rsidRDefault="00481AC5" w:rsidP="00481AC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bCs/>
          <w:color w:val="auto"/>
          <w:lang w:val="sr-Latn-CS"/>
        </w:rPr>
        <w:t xml:space="preserve">TOU </w:t>
      </w:r>
      <w:r w:rsidRPr="00074B52">
        <w:rPr>
          <w:rFonts w:ascii="Times New Roman" w:hAnsi="Times New Roman" w:cs="Times New Roman"/>
          <w:color w:val="auto"/>
          <w:lang w:val="pl-PL"/>
        </w:rPr>
        <w:t xml:space="preserve"> </w:t>
      </w:r>
      <w:r w:rsidRPr="00074B52">
        <w:rPr>
          <w:rFonts w:ascii="Times New Roman" w:hAnsi="Times New Roman" w:cs="Times New Roman"/>
          <w:bCs/>
          <w:color w:val="auto"/>
          <w:lang w:val="sr-Latn-CS"/>
        </w:rPr>
        <w:t>mora</w:t>
      </w:r>
      <w:r w:rsidRPr="00074B52">
        <w:rPr>
          <w:rFonts w:ascii="Times New Roman" w:hAnsi="Times New Roman" w:cs="Times New Roman"/>
          <w:color w:val="auto"/>
          <w:lang w:val="pl-PL"/>
        </w:rPr>
        <w:t xml:space="preserve"> da bez odlaganja obavijesti ATCG o svim promjenama relevantnim za akreditaciju, a koje se odnose na: </w:t>
      </w:r>
    </w:p>
    <w:p w14:paraId="3A9D23D8" w14:textId="2E74DF4A" w:rsidR="00481AC5" w:rsidRPr="0077280D" w:rsidRDefault="00481AC5" w:rsidP="00481AC5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lang w:val="pl-PL"/>
        </w:rPr>
      </w:pPr>
      <w:r w:rsidRPr="0077280D">
        <w:rPr>
          <w:rFonts w:ascii="Times New Roman" w:hAnsi="Times New Roman" w:cs="Times New Roman"/>
          <w:color w:val="auto"/>
          <w:lang w:val="pl-PL"/>
        </w:rPr>
        <w:t xml:space="preserve">pravni, komercijalni, vlasnički ili organizacioni status, </w:t>
      </w:r>
    </w:p>
    <w:p w14:paraId="3974DF80" w14:textId="3FE157E8" w:rsidR="00481AC5" w:rsidRPr="0077280D" w:rsidRDefault="00481AC5" w:rsidP="00481AC5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lang w:val="pl-PL"/>
        </w:rPr>
      </w:pPr>
      <w:r w:rsidRPr="0077280D">
        <w:rPr>
          <w:rFonts w:ascii="Times New Roman" w:hAnsi="Times New Roman" w:cs="Times New Roman"/>
          <w:color w:val="auto"/>
          <w:lang w:val="pl-PL"/>
        </w:rPr>
        <w:t>organizaciju, najviše rukovodstvo, ključno osoblje,</w:t>
      </w:r>
    </w:p>
    <w:p w14:paraId="53AEF6A8" w14:textId="3CB1D6C5" w:rsidR="00481AC5" w:rsidRPr="00074B52" w:rsidRDefault="00481AC5" w:rsidP="00481AC5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proofErr w:type="spellStart"/>
      <w:r w:rsidRPr="00074B52">
        <w:rPr>
          <w:rFonts w:ascii="Times New Roman" w:hAnsi="Times New Roman" w:cs="Times New Roman"/>
          <w:color w:val="auto"/>
        </w:rPr>
        <w:t>resurse</w:t>
      </w:r>
      <w:proofErr w:type="spellEnd"/>
      <w:r w:rsidRPr="00074B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74B52">
        <w:rPr>
          <w:rFonts w:ascii="Times New Roman" w:hAnsi="Times New Roman" w:cs="Times New Roman"/>
          <w:color w:val="auto"/>
        </w:rPr>
        <w:t>i</w:t>
      </w:r>
      <w:proofErr w:type="spellEnd"/>
      <w:r w:rsidRPr="00074B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74B52">
        <w:rPr>
          <w:rFonts w:ascii="Times New Roman" w:hAnsi="Times New Roman" w:cs="Times New Roman"/>
          <w:color w:val="auto"/>
        </w:rPr>
        <w:t>lokacije</w:t>
      </w:r>
      <w:proofErr w:type="spellEnd"/>
      <w:r w:rsidRPr="00074B52">
        <w:rPr>
          <w:rFonts w:ascii="Times New Roman" w:hAnsi="Times New Roman" w:cs="Times New Roman"/>
          <w:color w:val="auto"/>
        </w:rPr>
        <w:t xml:space="preserve">, </w:t>
      </w:r>
    </w:p>
    <w:p w14:paraId="7A397DF8" w14:textId="0D3848BD" w:rsidR="00481AC5" w:rsidRPr="00074B52" w:rsidRDefault="00481AC5" w:rsidP="00481AC5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proofErr w:type="spellStart"/>
      <w:r w:rsidRPr="00074B52">
        <w:rPr>
          <w:rFonts w:ascii="Times New Roman" w:hAnsi="Times New Roman" w:cs="Times New Roman"/>
          <w:color w:val="auto"/>
        </w:rPr>
        <w:t>obim</w:t>
      </w:r>
      <w:proofErr w:type="spellEnd"/>
      <w:r w:rsidRPr="00074B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74B52">
        <w:rPr>
          <w:rFonts w:ascii="Times New Roman" w:hAnsi="Times New Roman" w:cs="Times New Roman"/>
          <w:color w:val="auto"/>
        </w:rPr>
        <w:t>akreditacije</w:t>
      </w:r>
      <w:proofErr w:type="spellEnd"/>
    </w:p>
    <w:p w14:paraId="0AA2855D" w14:textId="15F1071B" w:rsidR="00481AC5" w:rsidRPr="00074B52" w:rsidRDefault="00481AC5" w:rsidP="00481AC5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proofErr w:type="spellStart"/>
      <w:r w:rsidRPr="00074B52">
        <w:rPr>
          <w:rFonts w:ascii="Times New Roman" w:hAnsi="Times New Roman" w:cs="Times New Roman"/>
          <w:color w:val="auto"/>
        </w:rPr>
        <w:t>sve</w:t>
      </w:r>
      <w:proofErr w:type="spellEnd"/>
      <w:r w:rsidRPr="00074B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7280D">
        <w:rPr>
          <w:rFonts w:ascii="Times New Roman" w:hAnsi="Times New Roman" w:cs="Times New Roman"/>
          <w:color w:val="auto"/>
        </w:rPr>
        <w:t>druge</w:t>
      </w:r>
      <w:proofErr w:type="spellEnd"/>
      <w:r w:rsidRPr="007728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7280D">
        <w:rPr>
          <w:rFonts w:ascii="Times New Roman" w:hAnsi="Times New Roman" w:cs="Times New Roman"/>
          <w:color w:val="auto"/>
        </w:rPr>
        <w:t>promjen</w:t>
      </w:r>
      <w:r w:rsidR="004A0877" w:rsidRPr="0077280D">
        <w:rPr>
          <w:rFonts w:ascii="Times New Roman" w:hAnsi="Times New Roman" w:cs="Times New Roman"/>
          <w:color w:val="auto"/>
        </w:rPr>
        <w:t>e</w:t>
      </w:r>
      <w:proofErr w:type="spellEnd"/>
      <w:r w:rsidR="004A0877" w:rsidRPr="007728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A0877" w:rsidRPr="0077280D">
        <w:rPr>
          <w:rFonts w:ascii="Times New Roman" w:hAnsi="Times New Roman" w:cs="Times New Roman"/>
          <w:color w:val="auto"/>
        </w:rPr>
        <w:t>koje</w:t>
      </w:r>
      <w:proofErr w:type="spellEnd"/>
      <w:r w:rsidR="004A0877" w:rsidRPr="007728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A0877" w:rsidRPr="0077280D">
        <w:rPr>
          <w:rFonts w:ascii="Times New Roman" w:hAnsi="Times New Roman" w:cs="Times New Roman"/>
          <w:color w:val="auto"/>
        </w:rPr>
        <w:t>mogu</w:t>
      </w:r>
      <w:proofErr w:type="spellEnd"/>
      <w:r w:rsidR="004A0877" w:rsidRPr="007728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A0877" w:rsidRPr="0077280D">
        <w:rPr>
          <w:rFonts w:ascii="Times New Roman" w:hAnsi="Times New Roman" w:cs="Times New Roman"/>
          <w:color w:val="auto"/>
        </w:rPr>
        <w:t>uticati</w:t>
      </w:r>
      <w:proofErr w:type="spellEnd"/>
      <w:r w:rsidR="004A0877" w:rsidRPr="007728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A0877" w:rsidRPr="0077280D">
        <w:rPr>
          <w:rFonts w:ascii="Times New Roman" w:hAnsi="Times New Roman" w:cs="Times New Roman"/>
          <w:color w:val="auto"/>
        </w:rPr>
        <w:t>na</w:t>
      </w:r>
      <w:proofErr w:type="spellEnd"/>
      <w:r w:rsidR="004A0877" w:rsidRPr="007728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A0877" w:rsidRPr="0077280D">
        <w:rPr>
          <w:rFonts w:ascii="Times New Roman" w:hAnsi="Times New Roman" w:cs="Times New Roman"/>
          <w:color w:val="auto"/>
        </w:rPr>
        <w:t>njegovu</w:t>
      </w:r>
      <w:proofErr w:type="spellEnd"/>
      <w:r w:rsidR="004A0877" w:rsidRPr="007728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7280D">
        <w:rPr>
          <w:rFonts w:ascii="Times New Roman" w:hAnsi="Times New Roman" w:cs="Times New Roman"/>
          <w:color w:val="auto"/>
        </w:rPr>
        <w:t>kompetentnost</w:t>
      </w:r>
      <w:proofErr w:type="spellEnd"/>
      <w:r w:rsidRPr="007728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7280D">
        <w:rPr>
          <w:rFonts w:ascii="Times New Roman" w:hAnsi="Times New Roman" w:cs="Times New Roman"/>
          <w:color w:val="auto"/>
        </w:rPr>
        <w:t>iz</w:t>
      </w:r>
      <w:proofErr w:type="spellEnd"/>
      <w:r w:rsidRPr="007728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7280D">
        <w:rPr>
          <w:rFonts w:ascii="Times New Roman" w:hAnsi="Times New Roman" w:cs="Times New Roman"/>
          <w:color w:val="auto"/>
        </w:rPr>
        <w:t>dodjeljenog</w:t>
      </w:r>
      <w:proofErr w:type="spellEnd"/>
      <w:r w:rsidRPr="007728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7280D">
        <w:rPr>
          <w:rFonts w:ascii="Times New Roman" w:hAnsi="Times New Roman" w:cs="Times New Roman"/>
          <w:color w:val="auto"/>
        </w:rPr>
        <w:t>obima</w:t>
      </w:r>
      <w:proofErr w:type="spellEnd"/>
      <w:r w:rsidRPr="007728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7280D">
        <w:rPr>
          <w:rFonts w:ascii="Times New Roman" w:hAnsi="Times New Roman" w:cs="Times New Roman"/>
          <w:color w:val="auto"/>
        </w:rPr>
        <w:t>akreditacije</w:t>
      </w:r>
      <w:proofErr w:type="spellEnd"/>
      <w:r w:rsidRPr="0077280D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77280D">
        <w:rPr>
          <w:rFonts w:ascii="Times New Roman" w:hAnsi="Times New Roman" w:cs="Times New Roman"/>
          <w:color w:val="auto"/>
        </w:rPr>
        <w:t>odnosno</w:t>
      </w:r>
      <w:proofErr w:type="spellEnd"/>
      <w:r w:rsidRPr="007728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7280D">
        <w:rPr>
          <w:rFonts w:ascii="Times New Roman" w:hAnsi="Times New Roman" w:cs="Times New Roman"/>
          <w:color w:val="auto"/>
        </w:rPr>
        <w:t>na</w:t>
      </w:r>
      <w:proofErr w:type="spellEnd"/>
      <w:r w:rsidRPr="007728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7280D">
        <w:rPr>
          <w:rFonts w:ascii="Times New Roman" w:hAnsi="Times New Roman" w:cs="Times New Roman"/>
          <w:color w:val="auto"/>
        </w:rPr>
        <w:t>ispunjavanje</w:t>
      </w:r>
      <w:proofErr w:type="spellEnd"/>
      <w:r w:rsidRPr="007728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7280D">
        <w:rPr>
          <w:rFonts w:ascii="Times New Roman" w:hAnsi="Times New Roman" w:cs="Times New Roman"/>
          <w:color w:val="auto"/>
        </w:rPr>
        <w:t>kriterijuna</w:t>
      </w:r>
      <w:proofErr w:type="spellEnd"/>
      <w:r w:rsidRPr="007728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7280D">
        <w:rPr>
          <w:rFonts w:ascii="Times New Roman" w:hAnsi="Times New Roman" w:cs="Times New Roman"/>
          <w:color w:val="auto"/>
        </w:rPr>
        <w:t>prema</w:t>
      </w:r>
      <w:proofErr w:type="spellEnd"/>
      <w:r w:rsidRPr="007728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7280D">
        <w:rPr>
          <w:rFonts w:ascii="Times New Roman" w:hAnsi="Times New Roman" w:cs="Times New Roman"/>
          <w:color w:val="auto"/>
        </w:rPr>
        <w:t>kojima</w:t>
      </w:r>
      <w:proofErr w:type="spellEnd"/>
      <w:r w:rsidRPr="0077280D">
        <w:rPr>
          <w:rFonts w:ascii="Times New Roman" w:hAnsi="Times New Roman" w:cs="Times New Roman"/>
          <w:color w:val="auto"/>
        </w:rPr>
        <w:t xml:space="preserve"> je </w:t>
      </w:r>
      <w:proofErr w:type="spellStart"/>
      <w:r w:rsidRPr="0077280D">
        <w:rPr>
          <w:rFonts w:ascii="Times New Roman" w:hAnsi="Times New Roman" w:cs="Times New Roman"/>
          <w:color w:val="auto"/>
        </w:rPr>
        <w:t>akreditovan</w:t>
      </w:r>
      <w:proofErr w:type="spellEnd"/>
      <w:r w:rsidRPr="0077280D">
        <w:rPr>
          <w:rFonts w:ascii="Times New Roman" w:hAnsi="Times New Roman" w:cs="Times New Roman"/>
          <w:color w:val="auto"/>
        </w:rPr>
        <w:t xml:space="preserve"> </w:t>
      </w:r>
    </w:p>
    <w:p w14:paraId="6FA5D3F2" w14:textId="77777777" w:rsidR="006B33BA" w:rsidRPr="0077280D" w:rsidRDefault="006B33BA" w:rsidP="0012715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DD3B5AF" w14:textId="77777777" w:rsidR="00FC0379" w:rsidRPr="0077280D" w:rsidRDefault="00FC0379" w:rsidP="00FC0379">
      <w:pPr>
        <w:pStyle w:val="Default"/>
        <w:jc w:val="center"/>
        <w:rPr>
          <w:rFonts w:ascii="Times New Roman" w:hAnsi="Times New Roman" w:cs="Times New Roman"/>
          <w:color w:val="auto"/>
        </w:rPr>
      </w:pPr>
      <w:proofErr w:type="spellStart"/>
      <w:r w:rsidRPr="0077280D">
        <w:rPr>
          <w:rFonts w:ascii="Times New Roman" w:hAnsi="Times New Roman" w:cs="Times New Roman"/>
          <w:color w:val="auto"/>
        </w:rPr>
        <w:t>Član</w:t>
      </w:r>
      <w:proofErr w:type="spellEnd"/>
      <w:r w:rsidRPr="0077280D">
        <w:rPr>
          <w:rFonts w:ascii="Times New Roman" w:hAnsi="Times New Roman" w:cs="Times New Roman"/>
          <w:color w:val="auto"/>
        </w:rPr>
        <w:t xml:space="preserve"> 6</w:t>
      </w:r>
    </w:p>
    <w:p w14:paraId="0DEDB1A7" w14:textId="77777777" w:rsidR="00FC0379" w:rsidRPr="0077280D" w:rsidRDefault="00FC0379" w:rsidP="00FC0379">
      <w:pPr>
        <w:pStyle w:val="Default"/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14:paraId="72C50B30" w14:textId="77777777" w:rsidR="00FC0379" w:rsidRPr="00074B52" w:rsidRDefault="00FC0379" w:rsidP="00A06036">
      <w:pPr>
        <w:jc w:val="both"/>
      </w:pPr>
      <w:r w:rsidRPr="0077280D">
        <w:t xml:space="preserve">TOU je u </w:t>
      </w:r>
      <w:proofErr w:type="spellStart"/>
      <w:r w:rsidRPr="0077280D">
        <w:t>obavezi</w:t>
      </w:r>
      <w:proofErr w:type="spellEnd"/>
      <w:r w:rsidRPr="0077280D">
        <w:t xml:space="preserve"> da </w:t>
      </w:r>
      <w:proofErr w:type="spellStart"/>
      <w:r w:rsidRPr="0077280D">
        <w:t>svoju</w:t>
      </w:r>
      <w:proofErr w:type="spellEnd"/>
      <w:r w:rsidRPr="0077280D">
        <w:t xml:space="preserve"> </w:t>
      </w:r>
      <w:proofErr w:type="spellStart"/>
      <w:r w:rsidRPr="0077280D">
        <w:t>akreditaciju</w:t>
      </w:r>
      <w:proofErr w:type="spellEnd"/>
      <w:r w:rsidRPr="0077280D">
        <w:t xml:space="preserve"> ne </w:t>
      </w:r>
      <w:proofErr w:type="spellStart"/>
      <w:proofErr w:type="gramStart"/>
      <w:r w:rsidRPr="0077280D">
        <w:t>koristi</w:t>
      </w:r>
      <w:proofErr w:type="spellEnd"/>
      <w:r w:rsidRPr="0077280D">
        <w:t xml:space="preserve">  </w:t>
      </w:r>
      <w:proofErr w:type="spellStart"/>
      <w:r w:rsidRPr="0077280D">
        <w:t>na</w:t>
      </w:r>
      <w:proofErr w:type="spellEnd"/>
      <w:proofErr w:type="gramEnd"/>
      <w:r w:rsidRPr="0077280D">
        <w:t xml:space="preserve"> </w:t>
      </w:r>
      <w:proofErr w:type="spellStart"/>
      <w:r w:rsidRPr="0077280D">
        <w:t>način</w:t>
      </w:r>
      <w:proofErr w:type="spellEnd"/>
      <w:r w:rsidRPr="0077280D">
        <w:t xml:space="preserve"> da   </w:t>
      </w:r>
      <w:proofErr w:type="gramStart"/>
      <w:r w:rsidRPr="0077280D">
        <w:t xml:space="preserve">ATCG  </w:t>
      </w:r>
      <w:proofErr w:type="spellStart"/>
      <w:r w:rsidRPr="0077280D">
        <w:t>stekne</w:t>
      </w:r>
      <w:proofErr w:type="spellEnd"/>
      <w:proofErr w:type="gramEnd"/>
      <w:r w:rsidRPr="0077280D">
        <w:t xml:space="preserve"> </w:t>
      </w:r>
      <w:proofErr w:type="spellStart"/>
      <w:r w:rsidRPr="0077280D">
        <w:t>lošu</w:t>
      </w:r>
      <w:proofErr w:type="spellEnd"/>
      <w:r w:rsidRPr="0077280D">
        <w:t xml:space="preserve"> </w:t>
      </w:r>
      <w:proofErr w:type="spellStart"/>
      <w:r w:rsidRPr="0077280D">
        <w:t>reputaciju</w:t>
      </w:r>
      <w:proofErr w:type="spellEnd"/>
      <w:r w:rsidRPr="0077280D">
        <w:t xml:space="preserve">, </w:t>
      </w:r>
      <w:proofErr w:type="spellStart"/>
      <w:r w:rsidRPr="00074B52">
        <w:t>vodeći</w:t>
      </w:r>
      <w:proofErr w:type="spellEnd"/>
      <w:r w:rsidRPr="00074B52">
        <w:t xml:space="preserve"> </w:t>
      </w:r>
      <w:proofErr w:type="spellStart"/>
      <w:r w:rsidRPr="00074B52">
        <w:t>naročito</w:t>
      </w:r>
      <w:proofErr w:type="spellEnd"/>
      <w:r w:rsidRPr="00074B52">
        <w:t xml:space="preserve"> </w:t>
      </w:r>
      <w:proofErr w:type="spellStart"/>
      <w:r w:rsidRPr="00074B52">
        <w:t>računa</w:t>
      </w:r>
      <w:proofErr w:type="spellEnd"/>
      <w:r w:rsidRPr="00074B52">
        <w:t xml:space="preserve"> da se </w:t>
      </w:r>
      <w:proofErr w:type="spellStart"/>
      <w:r w:rsidRPr="00074B52">
        <w:t>takvim</w:t>
      </w:r>
      <w:proofErr w:type="spellEnd"/>
      <w:r w:rsidRPr="00074B52">
        <w:t xml:space="preserve"> </w:t>
      </w:r>
      <w:proofErr w:type="spellStart"/>
      <w:r w:rsidRPr="00074B52">
        <w:t>korišćenjem</w:t>
      </w:r>
      <w:proofErr w:type="spellEnd"/>
      <w:r w:rsidRPr="00074B52">
        <w:t xml:space="preserve"> ne </w:t>
      </w:r>
      <w:proofErr w:type="spellStart"/>
      <w:r w:rsidRPr="00074B52">
        <w:t>stvara</w:t>
      </w:r>
      <w:proofErr w:type="spellEnd"/>
      <w:r w:rsidRPr="00074B52">
        <w:t xml:space="preserve"> </w:t>
      </w:r>
      <w:proofErr w:type="spellStart"/>
      <w:r w:rsidRPr="00074B52">
        <w:t>nedoumica</w:t>
      </w:r>
      <w:proofErr w:type="spellEnd"/>
      <w:r w:rsidRPr="00074B52">
        <w:t xml:space="preserve"> u </w:t>
      </w:r>
      <w:proofErr w:type="spellStart"/>
      <w:r w:rsidRPr="00074B52">
        <w:t>pogledu</w:t>
      </w:r>
      <w:proofErr w:type="spellEnd"/>
      <w:r w:rsidRPr="00074B52">
        <w:t xml:space="preserve"> </w:t>
      </w:r>
      <w:proofErr w:type="spellStart"/>
      <w:r w:rsidRPr="00074B52">
        <w:t>obima</w:t>
      </w:r>
      <w:proofErr w:type="spellEnd"/>
      <w:r w:rsidRPr="00074B52">
        <w:t xml:space="preserve"> </w:t>
      </w:r>
      <w:proofErr w:type="spellStart"/>
      <w:r w:rsidRPr="00074B52">
        <w:t>i</w:t>
      </w:r>
      <w:proofErr w:type="spellEnd"/>
      <w:r w:rsidRPr="00074B52">
        <w:t xml:space="preserve"> </w:t>
      </w:r>
      <w:proofErr w:type="spellStart"/>
      <w:r w:rsidRPr="00074B52">
        <w:t>sadržaja</w:t>
      </w:r>
      <w:proofErr w:type="spellEnd"/>
      <w:r w:rsidRPr="00074B52">
        <w:t xml:space="preserve"> </w:t>
      </w:r>
      <w:proofErr w:type="spellStart"/>
      <w:r w:rsidRPr="00074B52">
        <w:t>dodjeljene</w:t>
      </w:r>
      <w:proofErr w:type="spellEnd"/>
      <w:r w:rsidRPr="00074B52">
        <w:t xml:space="preserve"> </w:t>
      </w:r>
      <w:proofErr w:type="spellStart"/>
      <w:r w:rsidRPr="00074B52">
        <w:t>akreditacije</w:t>
      </w:r>
      <w:proofErr w:type="spellEnd"/>
      <w:r w:rsidRPr="00074B52">
        <w:t xml:space="preserve"> </w:t>
      </w:r>
      <w:proofErr w:type="spellStart"/>
      <w:r w:rsidRPr="00074B52">
        <w:t>i</w:t>
      </w:r>
      <w:proofErr w:type="spellEnd"/>
      <w:r w:rsidRPr="00074B52">
        <w:t xml:space="preserve"> ne </w:t>
      </w:r>
      <w:proofErr w:type="spellStart"/>
      <w:proofErr w:type="gramStart"/>
      <w:r w:rsidRPr="00074B52">
        <w:t>smije</w:t>
      </w:r>
      <w:proofErr w:type="spellEnd"/>
      <w:r w:rsidRPr="00074B52">
        <w:t xml:space="preserve">  </w:t>
      </w:r>
      <w:proofErr w:type="spellStart"/>
      <w:r w:rsidRPr="00074B52">
        <w:t>davati</w:t>
      </w:r>
      <w:proofErr w:type="spellEnd"/>
      <w:proofErr w:type="gramEnd"/>
      <w:r w:rsidRPr="00074B52">
        <w:t xml:space="preserve">  </w:t>
      </w:r>
      <w:proofErr w:type="spellStart"/>
      <w:r w:rsidRPr="00074B52">
        <w:t>nikakve</w:t>
      </w:r>
      <w:proofErr w:type="spellEnd"/>
      <w:r w:rsidRPr="00074B52">
        <w:t xml:space="preserve"> </w:t>
      </w:r>
      <w:proofErr w:type="spellStart"/>
      <w:r w:rsidRPr="00074B52">
        <w:t>izjave</w:t>
      </w:r>
      <w:proofErr w:type="spellEnd"/>
      <w:r w:rsidRPr="00074B52">
        <w:t xml:space="preserve"> o </w:t>
      </w:r>
      <w:proofErr w:type="spellStart"/>
      <w:r w:rsidRPr="00074B52">
        <w:t>svojoj</w:t>
      </w:r>
      <w:proofErr w:type="spellEnd"/>
      <w:r w:rsidRPr="00074B52">
        <w:t xml:space="preserve"> </w:t>
      </w:r>
      <w:proofErr w:type="spellStart"/>
      <w:r w:rsidRPr="00074B52">
        <w:t>akreditaciji</w:t>
      </w:r>
      <w:proofErr w:type="spellEnd"/>
      <w:r w:rsidRPr="00074B52">
        <w:t xml:space="preserve"> </w:t>
      </w:r>
      <w:proofErr w:type="spellStart"/>
      <w:r w:rsidRPr="00074B52">
        <w:t>koje</w:t>
      </w:r>
      <w:proofErr w:type="spellEnd"/>
      <w:r w:rsidRPr="00074B52">
        <w:t xml:space="preserve"> se </w:t>
      </w:r>
      <w:proofErr w:type="spellStart"/>
      <w:r w:rsidRPr="00074B52">
        <w:t>mogu</w:t>
      </w:r>
      <w:proofErr w:type="spellEnd"/>
      <w:r w:rsidRPr="00074B52">
        <w:t xml:space="preserve"> </w:t>
      </w:r>
      <w:proofErr w:type="spellStart"/>
      <w:r w:rsidRPr="00074B52">
        <w:t>smatrati</w:t>
      </w:r>
      <w:proofErr w:type="spellEnd"/>
      <w:r w:rsidRPr="00074B52">
        <w:t xml:space="preserve"> </w:t>
      </w:r>
      <w:proofErr w:type="spellStart"/>
      <w:r w:rsidRPr="00074B52">
        <w:t>zloupotrebom</w:t>
      </w:r>
      <w:proofErr w:type="spellEnd"/>
      <w:r w:rsidRPr="00074B52">
        <w:t xml:space="preserve"> </w:t>
      </w:r>
      <w:proofErr w:type="spellStart"/>
      <w:r w:rsidRPr="00074B52">
        <w:t>dodjeljene</w:t>
      </w:r>
      <w:proofErr w:type="spellEnd"/>
      <w:r w:rsidRPr="00074B52">
        <w:t xml:space="preserve"> </w:t>
      </w:r>
      <w:proofErr w:type="spellStart"/>
      <w:r w:rsidRPr="00074B52">
        <w:t>akreditacije</w:t>
      </w:r>
      <w:proofErr w:type="spellEnd"/>
      <w:r w:rsidRPr="00074B52">
        <w:t xml:space="preserve">. TOU je </w:t>
      </w:r>
      <w:proofErr w:type="spellStart"/>
      <w:r w:rsidRPr="00074B52">
        <w:t>odgovoran</w:t>
      </w:r>
      <w:proofErr w:type="spellEnd"/>
      <w:r w:rsidRPr="00074B52">
        <w:t xml:space="preserve"> da u </w:t>
      </w:r>
      <w:proofErr w:type="spellStart"/>
      <w:r w:rsidRPr="00074B52">
        <w:t>ugovore</w:t>
      </w:r>
      <w:proofErr w:type="spellEnd"/>
      <w:r w:rsidRPr="00074B52">
        <w:t xml:space="preserve"> </w:t>
      </w:r>
      <w:proofErr w:type="spellStart"/>
      <w:r w:rsidRPr="00074B52">
        <w:t>sa</w:t>
      </w:r>
      <w:proofErr w:type="spellEnd"/>
      <w:r w:rsidRPr="00074B52">
        <w:t xml:space="preserve"> </w:t>
      </w:r>
      <w:proofErr w:type="spellStart"/>
      <w:r w:rsidRPr="00074B52">
        <w:t>korisnicima</w:t>
      </w:r>
      <w:proofErr w:type="spellEnd"/>
      <w:r w:rsidRPr="00074B52">
        <w:t xml:space="preserve"> </w:t>
      </w:r>
      <w:proofErr w:type="spellStart"/>
      <w:r w:rsidRPr="00074B52">
        <w:t>usluga</w:t>
      </w:r>
      <w:proofErr w:type="spellEnd"/>
      <w:r w:rsidRPr="00074B52">
        <w:t xml:space="preserve"> </w:t>
      </w:r>
      <w:proofErr w:type="spellStart"/>
      <w:r w:rsidRPr="00074B52">
        <w:t>ili</w:t>
      </w:r>
      <w:proofErr w:type="spellEnd"/>
      <w:r w:rsidRPr="00074B52">
        <w:t xml:space="preserve"> u </w:t>
      </w:r>
      <w:proofErr w:type="spellStart"/>
      <w:r w:rsidRPr="00074B52">
        <w:t>svoje</w:t>
      </w:r>
      <w:proofErr w:type="spellEnd"/>
      <w:r w:rsidRPr="00074B52">
        <w:t xml:space="preserve"> </w:t>
      </w:r>
      <w:proofErr w:type="spellStart"/>
      <w:r w:rsidRPr="00074B52">
        <w:t>isprave</w:t>
      </w:r>
      <w:proofErr w:type="spellEnd"/>
      <w:r w:rsidRPr="00074B52">
        <w:t xml:space="preserve"> o </w:t>
      </w:r>
      <w:proofErr w:type="spellStart"/>
      <w:r w:rsidRPr="00074B52">
        <w:t>usaglašenosti</w:t>
      </w:r>
      <w:proofErr w:type="spellEnd"/>
      <w:r w:rsidRPr="00074B52">
        <w:t xml:space="preserve"> ne </w:t>
      </w:r>
      <w:proofErr w:type="spellStart"/>
      <w:r w:rsidRPr="00074B52">
        <w:t>unosi</w:t>
      </w:r>
      <w:proofErr w:type="spellEnd"/>
      <w:r w:rsidRPr="00074B52">
        <w:t xml:space="preserve"> </w:t>
      </w:r>
      <w:proofErr w:type="spellStart"/>
      <w:r w:rsidRPr="00074B52">
        <w:t>bilo</w:t>
      </w:r>
      <w:proofErr w:type="spellEnd"/>
      <w:r w:rsidRPr="00074B52">
        <w:t xml:space="preserve"> </w:t>
      </w:r>
      <w:proofErr w:type="spellStart"/>
      <w:r w:rsidRPr="00074B52">
        <w:t>kakve</w:t>
      </w:r>
      <w:proofErr w:type="spellEnd"/>
      <w:r w:rsidRPr="00074B52">
        <w:t xml:space="preserve"> </w:t>
      </w:r>
      <w:proofErr w:type="spellStart"/>
      <w:r w:rsidRPr="00074B52">
        <w:t>odrednice</w:t>
      </w:r>
      <w:proofErr w:type="spellEnd"/>
      <w:r w:rsidRPr="00074B52">
        <w:t xml:space="preserve"> </w:t>
      </w:r>
      <w:proofErr w:type="spellStart"/>
      <w:r w:rsidRPr="00074B52">
        <w:t>koje</w:t>
      </w:r>
      <w:proofErr w:type="spellEnd"/>
      <w:r w:rsidRPr="00074B52">
        <w:t xml:space="preserve"> </w:t>
      </w:r>
      <w:proofErr w:type="spellStart"/>
      <w:r w:rsidRPr="00074B52">
        <w:t>navode</w:t>
      </w:r>
      <w:proofErr w:type="spellEnd"/>
      <w:r w:rsidRPr="00074B52">
        <w:t xml:space="preserve"> </w:t>
      </w:r>
      <w:proofErr w:type="spellStart"/>
      <w:r w:rsidRPr="00074B52">
        <w:t>na</w:t>
      </w:r>
      <w:proofErr w:type="spellEnd"/>
      <w:r w:rsidRPr="00074B52">
        <w:t xml:space="preserve"> </w:t>
      </w:r>
      <w:proofErr w:type="spellStart"/>
      <w:r w:rsidRPr="00074B52">
        <w:t>zaključak</w:t>
      </w:r>
      <w:proofErr w:type="spellEnd"/>
      <w:r w:rsidRPr="00074B52">
        <w:t xml:space="preserve"> da </w:t>
      </w:r>
      <w:proofErr w:type="spellStart"/>
      <w:r w:rsidRPr="00074B52">
        <w:t>su</w:t>
      </w:r>
      <w:proofErr w:type="spellEnd"/>
      <w:r w:rsidRPr="00074B52">
        <w:t xml:space="preserve"> </w:t>
      </w:r>
      <w:proofErr w:type="spellStart"/>
      <w:r w:rsidRPr="00074B52">
        <w:t>akreditacijom</w:t>
      </w:r>
      <w:proofErr w:type="spellEnd"/>
      <w:r w:rsidRPr="00074B52">
        <w:t xml:space="preserve"> </w:t>
      </w:r>
      <w:proofErr w:type="spellStart"/>
      <w:r w:rsidRPr="00074B52">
        <w:t>proizvod</w:t>
      </w:r>
      <w:proofErr w:type="spellEnd"/>
      <w:r w:rsidRPr="00074B52">
        <w:t xml:space="preserve"> </w:t>
      </w:r>
      <w:proofErr w:type="spellStart"/>
      <w:r w:rsidRPr="00074B52">
        <w:t>ili</w:t>
      </w:r>
      <w:proofErr w:type="spellEnd"/>
      <w:r w:rsidRPr="00074B52">
        <w:t xml:space="preserve"> </w:t>
      </w:r>
      <w:proofErr w:type="spellStart"/>
      <w:r w:rsidRPr="00074B52">
        <w:t>usluga</w:t>
      </w:r>
      <w:proofErr w:type="spellEnd"/>
      <w:r w:rsidRPr="00074B52">
        <w:t xml:space="preserve"> </w:t>
      </w:r>
      <w:proofErr w:type="spellStart"/>
      <w:r w:rsidRPr="00074B52">
        <w:t>potvrđeni</w:t>
      </w:r>
      <w:proofErr w:type="spellEnd"/>
      <w:r w:rsidRPr="00074B52">
        <w:t xml:space="preserve"> </w:t>
      </w:r>
      <w:proofErr w:type="spellStart"/>
      <w:r w:rsidRPr="00074B52">
        <w:t>od</w:t>
      </w:r>
      <w:proofErr w:type="spellEnd"/>
      <w:r w:rsidRPr="00074B52">
        <w:t xml:space="preserve"> </w:t>
      </w:r>
      <w:proofErr w:type="spellStart"/>
      <w:r w:rsidRPr="00074B52">
        <w:t>strane</w:t>
      </w:r>
      <w:proofErr w:type="spellEnd"/>
      <w:r w:rsidRPr="00074B52">
        <w:t xml:space="preserve"> ATCG.</w:t>
      </w:r>
    </w:p>
    <w:p w14:paraId="7A0B2792" w14:textId="77777777" w:rsidR="00127155" w:rsidRPr="0077280D" w:rsidRDefault="00127155" w:rsidP="00127155">
      <w:pPr>
        <w:pStyle w:val="Default"/>
        <w:rPr>
          <w:rFonts w:ascii="Times New Roman" w:hAnsi="Times New Roman" w:cs="Times New Roman"/>
          <w:color w:val="auto"/>
        </w:rPr>
      </w:pPr>
    </w:p>
    <w:p w14:paraId="48A3BBA7" w14:textId="6EFE66B6" w:rsidR="00127155" w:rsidRPr="00074B52" w:rsidRDefault="00127155" w:rsidP="003902E5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 xml:space="preserve">Član </w:t>
      </w:r>
      <w:r w:rsidR="003902E5" w:rsidRPr="00074B52">
        <w:rPr>
          <w:rFonts w:ascii="Times New Roman" w:hAnsi="Times New Roman" w:cs="Times New Roman"/>
          <w:color w:val="auto"/>
          <w:lang w:val="pl-PL"/>
        </w:rPr>
        <w:t>7</w:t>
      </w:r>
    </w:p>
    <w:p w14:paraId="03E5353E" w14:textId="77777777" w:rsidR="00127155" w:rsidRPr="00F43848" w:rsidRDefault="00127155" w:rsidP="00127155">
      <w:pPr>
        <w:pStyle w:val="Default"/>
        <w:jc w:val="both"/>
        <w:rPr>
          <w:rFonts w:ascii="Times New Roman" w:hAnsi="Times New Roman" w:cs="Times New Roman"/>
          <w:color w:val="auto"/>
          <w:sz w:val="10"/>
          <w:szCs w:val="10"/>
          <w:lang w:val="pl-PL"/>
        </w:rPr>
      </w:pPr>
    </w:p>
    <w:p w14:paraId="3504FF96" w14:textId="25BDC500" w:rsidR="003902E5" w:rsidRPr="0077280D" w:rsidRDefault="003902E5" w:rsidP="00A06036">
      <w:pPr>
        <w:jc w:val="both"/>
        <w:rPr>
          <w:lang w:val="pl-PL"/>
        </w:rPr>
      </w:pPr>
      <w:r w:rsidRPr="0077280D">
        <w:rPr>
          <w:lang w:val="pl-PL"/>
        </w:rPr>
        <w:t xml:space="preserve">TOU je u obavezi da plaća odgovarajuće troškove akreditacije u skladu sa Odlukom o visini troškova akreditacije </w:t>
      </w:r>
      <w:r w:rsidRPr="00074B52">
        <w:rPr>
          <w:lang w:val="pl-PL"/>
        </w:rPr>
        <w:t>(„Službeni list CG”, br. 14/08).</w:t>
      </w:r>
      <w:r w:rsidRPr="0077280D">
        <w:rPr>
          <w:lang w:val="pl-PL"/>
        </w:rPr>
        <w:t xml:space="preserve">, koja je dostupna i na internet stranici ATCG </w:t>
      </w:r>
      <w:hyperlink r:id="rId7" w:history="1">
        <w:r w:rsidRPr="0077280D">
          <w:rPr>
            <w:rStyle w:val="Hyperlink"/>
            <w:color w:val="auto"/>
            <w:lang w:val="pl-PL"/>
          </w:rPr>
          <w:t>www.akreditacija.me</w:t>
        </w:r>
      </w:hyperlink>
      <w:r w:rsidRPr="0077280D">
        <w:rPr>
          <w:lang w:val="pl-PL"/>
        </w:rPr>
        <w:t>.</w:t>
      </w:r>
    </w:p>
    <w:p w14:paraId="0265C5BF" w14:textId="432759C5" w:rsidR="003902E5" w:rsidRPr="0077280D" w:rsidRDefault="003902E5" w:rsidP="00A06036">
      <w:pPr>
        <w:jc w:val="both"/>
        <w:rPr>
          <w:lang w:val="pl-PL"/>
        </w:rPr>
      </w:pPr>
    </w:p>
    <w:p w14:paraId="361B38CE" w14:textId="11FB937A" w:rsidR="003902E5" w:rsidRPr="0077280D" w:rsidRDefault="003902E5" w:rsidP="00A06036">
      <w:pPr>
        <w:jc w:val="both"/>
        <w:rPr>
          <w:lang w:val="pl-PL"/>
        </w:rPr>
      </w:pPr>
      <w:r w:rsidRPr="0077280D">
        <w:rPr>
          <w:lang w:val="pl-PL"/>
        </w:rPr>
        <w:t xml:space="preserve">U slučaju da TOU ne izmiruje blagovremeno svoje troškove akreditacije ATCG ima pravo da ne dodjeli ili ne obnovi akreditaciju ili suspenduje/povuče akreditaciju u skladu sa Pravilima akreditacije. </w:t>
      </w:r>
    </w:p>
    <w:p w14:paraId="062F27B0" w14:textId="77777777" w:rsidR="007C48DF" w:rsidRPr="00074B52" w:rsidRDefault="007C48DF" w:rsidP="00127155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</w:p>
    <w:p w14:paraId="5A1235F2" w14:textId="17BB832E" w:rsidR="00127155" w:rsidRPr="00074B52" w:rsidRDefault="00127155" w:rsidP="00127155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 xml:space="preserve">Član </w:t>
      </w:r>
      <w:r w:rsidR="003902E5" w:rsidRPr="00074B52">
        <w:rPr>
          <w:rFonts w:ascii="Times New Roman" w:hAnsi="Times New Roman" w:cs="Times New Roman"/>
          <w:color w:val="auto"/>
          <w:lang w:val="pl-PL"/>
        </w:rPr>
        <w:t>8</w:t>
      </w:r>
    </w:p>
    <w:p w14:paraId="07AC68CC" w14:textId="77777777" w:rsidR="00127155" w:rsidRPr="00F43848" w:rsidRDefault="00127155" w:rsidP="00127155">
      <w:pPr>
        <w:pStyle w:val="Default"/>
        <w:rPr>
          <w:rFonts w:ascii="Times New Roman" w:hAnsi="Times New Roman" w:cs="Times New Roman"/>
          <w:color w:val="auto"/>
          <w:sz w:val="10"/>
          <w:szCs w:val="10"/>
          <w:lang w:val="pl-PL"/>
        </w:rPr>
      </w:pPr>
    </w:p>
    <w:p w14:paraId="6C51F584" w14:textId="2965F5E6" w:rsidR="00FC0379" w:rsidRPr="0077280D" w:rsidRDefault="00FC0379" w:rsidP="00FC0379">
      <w:pPr>
        <w:rPr>
          <w:lang w:val="pl-PL"/>
        </w:rPr>
      </w:pPr>
      <w:r w:rsidRPr="0077280D">
        <w:rPr>
          <w:lang w:val="pl-PL"/>
        </w:rPr>
        <w:t xml:space="preserve">Nakon dobijanja akreditacije, TOU ima pravo da </w:t>
      </w:r>
      <w:r w:rsidR="004A0877" w:rsidRPr="0077280D">
        <w:rPr>
          <w:lang w:val="pl-PL"/>
        </w:rPr>
        <w:t>zatraži od ATCG</w:t>
      </w:r>
      <w:r w:rsidRPr="0077280D">
        <w:rPr>
          <w:lang w:val="pl-PL"/>
        </w:rPr>
        <w:t>, u skladu sa Pravilima akreditacije:</w:t>
      </w:r>
    </w:p>
    <w:p w14:paraId="1F44B5E7" w14:textId="15667A89" w:rsidR="00FC0379" w:rsidRPr="0077280D" w:rsidRDefault="00FC0379" w:rsidP="004A0877">
      <w:pPr>
        <w:pStyle w:val="ListParagraph"/>
        <w:numPr>
          <w:ilvl w:val="0"/>
          <w:numId w:val="6"/>
        </w:numPr>
        <w:ind w:left="426"/>
        <w:rPr>
          <w:lang w:val="pl-PL"/>
        </w:rPr>
      </w:pPr>
      <w:r w:rsidRPr="0077280D">
        <w:rPr>
          <w:lang w:val="pl-PL"/>
        </w:rPr>
        <w:t>promjene u obimu akreditacije, koje uključuju, ali se ne ograničavaju, na proširenje odnosno smanjenje obima akreditacije;</w:t>
      </w:r>
    </w:p>
    <w:p w14:paraId="2A031697" w14:textId="1A035B7C" w:rsidR="00FC0379" w:rsidRPr="0077280D" w:rsidRDefault="00FC0379" w:rsidP="004A0877">
      <w:pPr>
        <w:pStyle w:val="ListParagraph"/>
        <w:numPr>
          <w:ilvl w:val="0"/>
          <w:numId w:val="6"/>
        </w:numPr>
        <w:ind w:left="426"/>
        <w:rPr>
          <w:lang w:val="pl-PL"/>
        </w:rPr>
      </w:pPr>
      <w:r w:rsidRPr="0077280D">
        <w:rPr>
          <w:lang w:val="pl-PL"/>
        </w:rPr>
        <w:t>suspenziju akreditacije, za dio ili ukupan obim akreditacije;</w:t>
      </w:r>
    </w:p>
    <w:p w14:paraId="4DF9DCC2" w14:textId="52500EAA" w:rsidR="00127155" w:rsidRPr="004A0877" w:rsidRDefault="00FC0379" w:rsidP="004A0877">
      <w:pPr>
        <w:pStyle w:val="Defaul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color w:val="auto"/>
          <w:lang w:val="it-IT"/>
        </w:rPr>
      </w:pPr>
      <w:r w:rsidRPr="0077280D">
        <w:rPr>
          <w:rFonts w:ascii="Times New Roman" w:hAnsi="Times New Roman" w:cs="Times New Roman"/>
          <w:color w:val="auto"/>
          <w:lang w:val="pl-PL"/>
        </w:rPr>
        <w:t>povlačenje akreditacije, odnosno odustajanje od dodjeljene akreditacije</w:t>
      </w:r>
    </w:p>
    <w:p w14:paraId="72C8C151" w14:textId="77777777" w:rsidR="003902E5" w:rsidRPr="00074B52" w:rsidRDefault="003902E5" w:rsidP="00127155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</w:p>
    <w:p w14:paraId="4896D92C" w14:textId="77777777" w:rsidR="00F43848" w:rsidRDefault="00F43848" w:rsidP="003902E5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</w:p>
    <w:p w14:paraId="4C3ADC0F" w14:textId="68B02561" w:rsidR="003902E5" w:rsidRPr="00074B52" w:rsidRDefault="003902E5" w:rsidP="003902E5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lastRenderedPageBreak/>
        <w:t>Član 9</w:t>
      </w:r>
    </w:p>
    <w:p w14:paraId="0919104E" w14:textId="77777777" w:rsidR="003902E5" w:rsidRPr="00F43848" w:rsidRDefault="003902E5" w:rsidP="003902E5">
      <w:pPr>
        <w:pStyle w:val="Default"/>
        <w:jc w:val="center"/>
        <w:rPr>
          <w:rFonts w:ascii="Times New Roman" w:hAnsi="Times New Roman" w:cs="Times New Roman"/>
          <w:color w:val="auto"/>
          <w:sz w:val="10"/>
          <w:szCs w:val="10"/>
          <w:lang w:val="pl-PL"/>
        </w:rPr>
      </w:pPr>
    </w:p>
    <w:p w14:paraId="2193468C" w14:textId="77777777" w:rsidR="003902E5" w:rsidRPr="00074B52" w:rsidRDefault="003902E5" w:rsidP="003902E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bCs/>
          <w:color w:val="auto"/>
          <w:lang w:val="sr-Latn-CS"/>
        </w:rPr>
        <w:t xml:space="preserve">TOU </w:t>
      </w:r>
      <w:r w:rsidRPr="00074B52">
        <w:rPr>
          <w:rFonts w:ascii="Times New Roman" w:hAnsi="Times New Roman" w:cs="Times New Roman"/>
          <w:color w:val="auto"/>
          <w:lang w:val="pl-PL"/>
        </w:rPr>
        <w:t xml:space="preserve"> ima pravo da uputi prigovor i/ili žalbu u vezi sa aktivnostima ATCG. Rješavanje prigovora i žalbi će se vršiti u skladu sa procedurom ATCG PR.08 Procedura  za rješavanje prigovora i žalbi( javno dostupnom na internet stranici ATCG www.akreditacija.me). </w:t>
      </w:r>
    </w:p>
    <w:p w14:paraId="489C33DA" w14:textId="29DB7D85" w:rsidR="003902E5" w:rsidRPr="00074B52" w:rsidRDefault="003902E5" w:rsidP="003902E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14:paraId="2B7E115B" w14:textId="05211C0D" w:rsidR="003902E5" w:rsidRPr="00074B52" w:rsidRDefault="003902E5" w:rsidP="003902E5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>Član 10</w:t>
      </w:r>
    </w:p>
    <w:p w14:paraId="1E6C9DC3" w14:textId="77777777" w:rsidR="003902E5" w:rsidRPr="00F43848" w:rsidRDefault="003902E5" w:rsidP="003902E5">
      <w:pPr>
        <w:pStyle w:val="Default"/>
        <w:jc w:val="center"/>
        <w:rPr>
          <w:rFonts w:ascii="Times New Roman" w:hAnsi="Times New Roman" w:cs="Times New Roman"/>
          <w:color w:val="auto"/>
          <w:sz w:val="10"/>
          <w:szCs w:val="10"/>
          <w:lang w:val="pl-PL"/>
        </w:rPr>
      </w:pPr>
    </w:p>
    <w:p w14:paraId="47ED032D" w14:textId="77777777" w:rsidR="003902E5" w:rsidRPr="00074B52" w:rsidRDefault="003902E5" w:rsidP="003902E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 xml:space="preserve">U slučaju da ATCG dobije prigovor na rad TOU od strane korisnika njegovih usluga ili drugih zainteresovanih strana, </w:t>
      </w:r>
      <w:r w:rsidRPr="00074B52">
        <w:rPr>
          <w:rFonts w:ascii="Times New Roman" w:hAnsi="Times New Roman" w:cs="Times New Roman"/>
          <w:bCs/>
          <w:color w:val="auto"/>
          <w:lang w:val="sr-Latn-CS"/>
        </w:rPr>
        <w:t xml:space="preserve">TOU </w:t>
      </w:r>
      <w:r w:rsidRPr="00074B52">
        <w:rPr>
          <w:rFonts w:ascii="Times New Roman" w:hAnsi="Times New Roman" w:cs="Times New Roman"/>
          <w:color w:val="auto"/>
          <w:lang w:val="pl-PL"/>
        </w:rPr>
        <w:t xml:space="preserve"> je dužno da sarađuje sa ATCG u postupku rješavanja prigovora.</w:t>
      </w:r>
    </w:p>
    <w:p w14:paraId="34662B31" w14:textId="77777777" w:rsidR="003902E5" w:rsidRPr="00074B52" w:rsidRDefault="003902E5" w:rsidP="00127155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</w:p>
    <w:p w14:paraId="0596D89F" w14:textId="15BF371D" w:rsidR="00127155" w:rsidRPr="00074B52" w:rsidRDefault="00127155" w:rsidP="00127155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>Član 1</w:t>
      </w:r>
      <w:r w:rsidR="003902E5" w:rsidRPr="00074B52">
        <w:rPr>
          <w:rFonts w:ascii="Times New Roman" w:hAnsi="Times New Roman" w:cs="Times New Roman"/>
          <w:color w:val="auto"/>
          <w:lang w:val="pl-PL"/>
        </w:rPr>
        <w:t>1</w:t>
      </w:r>
    </w:p>
    <w:p w14:paraId="0700EC96" w14:textId="77777777" w:rsidR="00127155" w:rsidRPr="00F43848" w:rsidRDefault="00127155" w:rsidP="00127155">
      <w:pPr>
        <w:pStyle w:val="Default"/>
        <w:jc w:val="center"/>
        <w:rPr>
          <w:rFonts w:ascii="Times New Roman" w:hAnsi="Times New Roman" w:cs="Times New Roman"/>
          <w:color w:val="auto"/>
          <w:sz w:val="10"/>
          <w:szCs w:val="10"/>
          <w:lang w:val="pl-PL"/>
        </w:rPr>
      </w:pPr>
    </w:p>
    <w:p w14:paraId="4980D909" w14:textId="49D40BA4" w:rsidR="00127155" w:rsidRPr="00074B52" w:rsidRDefault="00127155" w:rsidP="0012715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 xml:space="preserve">Najmanje četiri mjeseca prije isticanja akreditacije, </w:t>
      </w:r>
      <w:r w:rsidR="003902E5" w:rsidRPr="00074B52">
        <w:rPr>
          <w:rFonts w:ascii="Times New Roman" w:hAnsi="Times New Roman" w:cs="Times New Roman"/>
          <w:color w:val="auto"/>
          <w:lang w:val="pl-PL"/>
        </w:rPr>
        <w:t xml:space="preserve">TOU </w:t>
      </w:r>
      <w:r w:rsidRPr="00074B52">
        <w:rPr>
          <w:rFonts w:ascii="Times New Roman" w:hAnsi="Times New Roman" w:cs="Times New Roman"/>
          <w:color w:val="auto"/>
          <w:lang w:val="pl-PL"/>
        </w:rPr>
        <w:t xml:space="preserve">se mora prijaviti za ponovno ocjenjivanje, ukoliko to </w:t>
      </w:r>
      <w:r w:rsidRPr="00074B52">
        <w:rPr>
          <w:rFonts w:ascii="Times New Roman" w:hAnsi="Times New Roman" w:cs="Times New Roman"/>
          <w:color w:val="auto"/>
          <w:lang w:val="sr-Latn-CS"/>
        </w:rPr>
        <w:t>želi</w:t>
      </w:r>
      <w:r w:rsidRPr="00074B52">
        <w:rPr>
          <w:rFonts w:ascii="Times New Roman" w:hAnsi="Times New Roman" w:cs="Times New Roman"/>
          <w:color w:val="auto"/>
          <w:lang w:val="pl-PL"/>
        </w:rPr>
        <w:t xml:space="preserve">. Ponovno ocjenjivanje se obavlja u skladu sa pravilom ATCG </w:t>
      </w:r>
      <w:r w:rsidR="001E4E30" w:rsidRPr="00074B52">
        <w:rPr>
          <w:rFonts w:ascii="Times New Roman" w:hAnsi="Times New Roman" w:cs="Times New Roman"/>
          <w:color w:val="auto"/>
          <w:lang w:val="pl-PL"/>
        </w:rPr>
        <w:t>P</w:t>
      </w:r>
      <w:r w:rsidR="003902E5" w:rsidRPr="00074B52">
        <w:rPr>
          <w:rFonts w:ascii="Times New Roman" w:hAnsi="Times New Roman" w:cs="Times New Roman"/>
          <w:color w:val="auto"/>
          <w:lang w:val="pl-PL"/>
        </w:rPr>
        <w:t>A</w:t>
      </w:r>
      <w:r w:rsidRPr="00074B52">
        <w:rPr>
          <w:rFonts w:ascii="Times New Roman" w:hAnsi="Times New Roman" w:cs="Times New Roman"/>
          <w:color w:val="auto"/>
          <w:lang w:val="pl-PL"/>
        </w:rPr>
        <w:t>.01 Pravila akreditacije.</w:t>
      </w:r>
    </w:p>
    <w:p w14:paraId="6F12FDFE" w14:textId="77777777" w:rsidR="00127155" w:rsidRPr="00074B52" w:rsidRDefault="00127155" w:rsidP="0012715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14:paraId="20560EC3" w14:textId="77777777" w:rsidR="00663776" w:rsidRPr="00074B52" w:rsidRDefault="00663776" w:rsidP="00663776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>Član 1</w:t>
      </w:r>
      <w:r w:rsidR="00B24C70" w:rsidRPr="00074B52">
        <w:rPr>
          <w:rFonts w:ascii="Times New Roman" w:hAnsi="Times New Roman" w:cs="Times New Roman"/>
          <w:color w:val="auto"/>
          <w:lang w:val="pl-PL"/>
        </w:rPr>
        <w:t>2</w:t>
      </w:r>
      <w:r w:rsidRPr="00074B52">
        <w:rPr>
          <w:rFonts w:ascii="Times New Roman" w:hAnsi="Times New Roman" w:cs="Times New Roman"/>
          <w:color w:val="auto"/>
          <w:lang w:val="pl-PL"/>
        </w:rPr>
        <w:t xml:space="preserve"> </w:t>
      </w:r>
    </w:p>
    <w:p w14:paraId="20811580" w14:textId="77777777" w:rsidR="00663776" w:rsidRPr="00F43848" w:rsidRDefault="00663776" w:rsidP="00127155">
      <w:pPr>
        <w:pStyle w:val="Default"/>
        <w:jc w:val="both"/>
        <w:rPr>
          <w:rFonts w:ascii="Times New Roman" w:hAnsi="Times New Roman" w:cs="Times New Roman"/>
          <w:color w:val="auto"/>
          <w:sz w:val="10"/>
          <w:szCs w:val="10"/>
          <w:lang w:val="pl-PL"/>
        </w:rPr>
      </w:pPr>
    </w:p>
    <w:p w14:paraId="77F57761" w14:textId="67F05176" w:rsidR="00E25C86" w:rsidRPr="0077280D" w:rsidRDefault="00E25C86" w:rsidP="00E25C86">
      <w:pPr>
        <w:rPr>
          <w:lang w:val="pl-PL"/>
        </w:rPr>
      </w:pPr>
      <w:r w:rsidRPr="00074B52">
        <w:rPr>
          <w:lang w:val="pl-PL"/>
        </w:rPr>
        <w:t xml:space="preserve">TOU je odgovorno </w:t>
      </w:r>
      <w:r w:rsidR="004D677D" w:rsidRPr="00074B52">
        <w:rPr>
          <w:lang w:val="pl-PL"/>
        </w:rPr>
        <w:t xml:space="preserve"> za povrede svojih obaveza koje proizilaze iz ovog Ugovora</w:t>
      </w:r>
      <w:r w:rsidRPr="0077280D">
        <w:rPr>
          <w:lang w:val="pl-PL"/>
        </w:rPr>
        <w:t xml:space="preserve"> i prihvata da nadoknadi ATCG štetu nastalu zbog neispunjavanja obaveza iz ovog ugovora i iz Pravila akreditacije ili zbog zloupotrebe akreditacije.</w:t>
      </w:r>
    </w:p>
    <w:p w14:paraId="13228DFE" w14:textId="140B0B5B" w:rsidR="00127155" w:rsidRPr="00074B52" w:rsidRDefault="00127155" w:rsidP="0012715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14:paraId="524FB998" w14:textId="6EFB0638" w:rsidR="00074B52" w:rsidRPr="00074B52" w:rsidRDefault="00074B52" w:rsidP="00074B52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 xml:space="preserve">Član 13 </w:t>
      </w:r>
    </w:p>
    <w:p w14:paraId="578FEF3C" w14:textId="77777777" w:rsidR="00074B52" w:rsidRPr="00F43848" w:rsidRDefault="00074B52" w:rsidP="00074B52">
      <w:pPr>
        <w:pStyle w:val="Default"/>
        <w:jc w:val="both"/>
        <w:rPr>
          <w:rFonts w:ascii="Times New Roman" w:hAnsi="Times New Roman" w:cs="Times New Roman"/>
          <w:color w:val="auto"/>
          <w:sz w:val="10"/>
          <w:szCs w:val="10"/>
          <w:lang w:val="pl-PL"/>
        </w:rPr>
      </w:pPr>
    </w:p>
    <w:p w14:paraId="47D9A3AB" w14:textId="77777777" w:rsidR="00074B52" w:rsidRPr="00074B52" w:rsidRDefault="00074B52" w:rsidP="00074B52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 xml:space="preserve">Nakon prestanka važenja ovog Ugovora </w:t>
      </w:r>
      <w:r w:rsidRPr="00074B52">
        <w:rPr>
          <w:rFonts w:ascii="Times New Roman" w:hAnsi="Times New Roman" w:cs="Times New Roman"/>
          <w:bCs/>
          <w:color w:val="auto"/>
          <w:lang w:val="sr-Latn-CS"/>
        </w:rPr>
        <w:t xml:space="preserve">TOU je obavezan </w:t>
      </w:r>
      <w:r w:rsidRPr="00074B52">
        <w:rPr>
          <w:rFonts w:ascii="Times New Roman" w:hAnsi="Times New Roman" w:cs="Times New Roman"/>
          <w:color w:val="auto"/>
          <w:lang w:val="pl-PL"/>
        </w:rPr>
        <w:t xml:space="preserve"> da ispoštuje:</w:t>
      </w:r>
    </w:p>
    <w:p w14:paraId="0368ACEB" w14:textId="77777777" w:rsidR="00074B52" w:rsidRPr="00074B52" w:rsidRDefault="00074B52" w:rsidP="00074B52">
      <w:pPr>
        <w:pStyle w:val="Default"/>
        <w:ind w:left="420" w:hanging="140"/>
        <w:jc w:val="both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>- uslove koji se odnose na povjerljivost i</w:t>
      </w:r>
    </w:p>
    <w:p w14:paraId="61BE6605" w14:textId="77777777" w:rsidR="00074B52" w:rsidRPr="00074B52" w:rsidRDefault="00074B52" w:rsidP="00074B52">
      <w:pPr>
        <w:pStyle w:val="Default"/>
        <w:ind w:left="420" w:hanging="140"/>
        <w:jc w:val="both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 xml:space="preserve">- plaćanje neizmirenih troškova akreditacije. </w:t>
      </w:r>
    </w:p>
    <w:p w14:paraId="2FAE0F7C" w14:textId="77777777" w:rsidR="004D677D" w:rsidRPr="00074B52" w:rsidRDefault="004D677D" w:rsidP="0012715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14:paraId="4394C317" w14:textId="77777777" w:rsidR="00127155" w:rsidRPr="00074B52" w:rsidRDefault="00127155" w:rsidP="00127155">
      <w:pPr>
        <w:pStyle w:val="Default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074B52">
        <w:rPr>
          <w:rFonts w:ascii="Times New Roman" w:hAnsi="Times New Roman" w:cs="Times New Roman"/>
          <w:b/>
          <w:color w:val="auto"/>
          <w:lang w:val="pl-PL"/>
        </w:rPr>
        <w:t>Prava i obaveze ATCG</w:t>
      </w:r>
    </w:p>
    <w:p w14:paraId="3D0D284A" w14:textId="77777777" w:rsidR="00127155" w:rsidRPr="00074B52" w:rsidRDefault="00127155" w:rsidP="00127155">
      <w:pPr>
        <w:pStyle w:val="Default"/>
        <w:jc w:val="center"/>
        <w:rPr>
          <w:rFonts w:ascii="Times New Roman" w:hAnsi="Times New Roman" w:cs="Times New Roman"/>
          <w:b/>
          <w:color w:val="auto"/>
          <w:lang w:val="pl-PL"/>
        </w:rPr>
      </w:pPr>
    </w:p>
    <w:p w14:paraId="3CCF7E0B" w14:textId="38098803" w:rsidR="00127155" w:rsidRPr="00074B52" w:rsidRDefault="00663776" w:rsidP="00127155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>Član 1</w:t>
      </w:r>
      <w:r w:rsidR="00074B52" w:rsidRPr="00074B52">
        <w:rPr>
          <w:rFonts w:ascii="Times New Roman" w:hAnsi="Times New Roman" w:cs="Times New Roman"/>
          <w:color w:val="auto"/>
          <w:lang w:val="pl-PL"/>
        </w:rPr>
        <w:t>4</w:t>
      </w:r>
    </w:p>
    <w:p w14:paraId="7F2339B1" w14:textId="77777777" w:rsidR="00127155" w:rsidRPr="00F43848" w:rsidRDefault="00127155" w:rsidP="00127155">
      <w:pPr>
        <w:pStyle w:val="Default"/>
        <w:jc w:val="center"/>
        <w:rPr>
          <w:rFonts w:ascii="Times New Roman" w:hAnsi="Times New Roman" w:cs="Times New Roman"/>
          <w:color w:val="auto"/>
          <w:sz w:val="10"/>
          <w:szCs w:val="10"/>
          <w:lang w:val="pl-PL"/>
        </w:rPr>
      </w:pPr>
    </w:p>
    <w:p w14:paraId="417B05D2" w14:textId="5CE7E888" w:rsidR="00E25C86" w:rsidRPr="0077280D" w:rsidRDefault="001E4E30" w:rsidP="00E25C86">
      <w:pPr>
        <w:rPr>
          <w:lang w:val="pl-PL"/>
        </w:rPr>
      </w:pPr>
      <w:r w:rsidRPr="00074B52">
        <w:rPr>
          <w:lang w:val="pl-PL"/>
        </w:rPr>
        <w:t xml:space="preserve">Zaključenjem ovog ugovora </w:t>
      </w:r>
      <w:r w:rsidR="00127155" w:rsidRPr="00074B52">
        <w:rPr>
          <w:lang w:val="pl-PL"/>
        </w:rPr>
        <w:t xml:space="preserve">ATCG </w:t>
      </w:r>
      <w:r w:rsidR="00E25C86" w:rsidRPr="0077280D">
        <w:rPr>
          <w:lang w:val="pl-PL"/>
        </w:rPr>
        <w:t>se obavezuje da će sprovesti postupak akreditacije i održavanja akreditacije TOU, odnosno da će sprovesti početno/ponovno ocjenjivanje, nadzorne aktivnosti uključujući i potreban broj nadzornih ocjenjivanja u ciklusu akreditacije, u skladu sa Zakonom o akreditaciji, Pravilima akreditacije i odgovarajućim politikama i procedurama ATCG.</w:t>
      </w:r>
    </w:p>
    <w:p w14:paraId="618407EE" w14:textId="7A71C73D" w:rsidR="00127155" w:rsidRPr="00074B52" w:rsidRDefault="00127155" w:rsidP="0012715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 xml:space="preserve">ATCG ne snosi odgovornost za pomjeranje predviđenog termina ocjenjivanja do kojeg je došlo zbog nespremnosti </w:t>
      </w:r>
      <w:r w:rsidR="00E25C86" w:rsidRPr="00074B52">
        <w:rPr>
          <w:rFonts w:ascii="Times New Roman" w:hAnsi="Times New Roman" w:cs="Times New Roman"/>
          <w:bCs/>
          <w:color w:val="auto"/>
          <w:lang w:val="sr-Latn-CS"/>
        </w:rPr>
        <w:t xml:space="preserve">TOU </w:t>
      </w:r>
      <w:r w:rsidRPr="00074B52">
        <w:rPr>
          <w:rFonts w:ascii="Times New Roman" w:hAnsi="Times New Roman" w:cs="Times New Roman"/>
          <w:color w:val="auto"/>
          <w:lang w:val="pl-PL"/>
        </w:rPr>
        <w:t xml:space="preserve"> za realizaciju pojedinih aktivnosti postupka </w:t>
      </w:r>
      <w:r w:rsidR="00E25C86" w:rsidRPr="00074B52">
        <w:rPr>
          <w:rFonts w:ascii="Times New Roman" w:hAnsi="Times New Roman" w:cs="Times New Roman"/>
          <w:color w:val="auto"/>
          <w:lang w:val="pl-PL"/>
        </w:rPr>
        <w:t>akreditacije</w:t>
      </w:r>
      <w:r w:rsidRPr="00074B52">
        <w:rPr>
          <w:rFonts w:ascii="Times New Roman" w:hAnsi="Times New Roman" w:cs="Times New Roman"/>
          <w:color w:val="auto"/>
          <w:lang w:val="pl-PL"/>
        </w:rPr>
        <w:t>.</w:t>
      </w:r>
    </w:p>
    <w:p w14:paraId="4B15EB16" w14:textId="77777777" w:rsidR="008832AD" w:rsidRPr="00074B52" w:rsidRDefault="008832AD" w:rsidP="008832AD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14:paraId="22E896F7" w14:textId="77777777" w:rsidR="008832AD" w:rsidRPr="00074B52" w:rsidRDefault="008832AD" w:rsidP="008832AD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 xml:space="preserve">ATCG smatra da je </w:t>
      </w:r>
      <w:r w:rsidRPr="00074B52">
        <w:rPr>
          <w:rFonts w:ascii="Times New Roman" w:hAnsi="Times New Roman" w:cs="Times New Roman"/>
          <w:bCs/>
          <w:color w:val="auto"/>
          <w:lang w:val="sr-Latn-CS"/>
        </w:rPr>
        <w:t>TOU</w:t>
      </w:r>
      <w:r w:rsidRPr="00074B52">
        <w:rPr>
          <w:rFonts w:ascii="Times New Roman" w:hAnsi="Times New Roman" w:cs="Times New Roman"/>
          <w:color w:val="auto"/>
          <w:lang w:val="pl-PL"/>
        </w:rPr>
        <w:t xml:space="preserve"> potpisivanjem ovog Ugovora spremno  za realizaciju aktivnosti postupka  akreditacije. </w:t>
      </w:r>
    </w:p>
    <w:p w14:paraId="79F555E2" w14:textId="77777777" w:rsidR="008832AD" w:rsidRPr="00074B52" w:rsidRDefault="008832AD" w:rsidP="0012715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14:paraId="7E7A4F75" w14:textId="0E444B39" w:rsidR="00E25C86" w:rsidRPr="0077280D" w:rsidRDefault="00E25C86" w:rsidP="00A06036">
      <w:pPr>
        <w:jc w:val="both"/>
        <w:rPr>
          <w:lang w:val="pl-PL"/>
        </w:rPr>
      </w:pPr>
      <w:r w:rsidRPr="0077280D">
        <w:rPr>
          <w:lang w:val="pl-PL"/>
        </w:rPr>
        <w:t xml:space="preserve">Ako se nakon sprovedenog postupka akreditacije utvrdi da podnosilac </w:t>
      </w:r>
      <w:r w:rsidR="00034456" w:rsidRPr="0077280D">
        <w:rPr>
          <w:lang w:val="pl-PL"/>
        </w:rPr>
        <w:t xml:space="preserve"> zahtjeva </w:t>
      </w:r>
      <w:r w:rsidRPr="0077280D">
        <w:rPr>
          <w:lang w:val="pl-PL"/>
        </w:rPr>
        <w:t xml:space="preserve"> ispunjava zaht</w:t>
      </w:r>
      <w:r w:rsidR="00034456" w:rsidRPr="0077280D">
        <w:rPr>
          <w:lang w:val="pl-PL"/>
        </w:rPr>
        <w:t>j</w:t>
      </w:r>
      <w:r w:rsidRPr="0077280D">
        <w:rPr>
          <w:lang w:val="pl-PL"/>
        </w:rPr>
        <w:t>eve odgovarajućih standarda i kada je prim</w:t>
      </w:r>
      <w:r w:rsidR="00034456" w:rsidRPr="0077280D">
        <w:rPr>
          <w:lang w:val="pl-PL"/>
        </w:rPr>
        <w:t>j</w:t>
      </w:r>
      <w:r w:rsidRPr="0077280D">
        <w:rPr>
          <w:lang w:val="pl-PL"/>
        </w:rPr>
        <w:t>enljivo, sve dodatne zaht</w:t>
      </w:r>
      <w:r w:rsidR="00034456" w:rsidRPr="0077280D">
        <w:rPr>
          <w:lang w:val="pl-PL"/>
        </w:rPr>
        <w:t>j</w:t>
      </w:r>
      <w:r w:rsidRPr="0077280D">
        <w:rPr>
          <w:lang w:val="pl-PL"/>
        </w:rPr>
        <w:t xml:space="preserve">eve, uključujući </w:t>
      </w:r>
      <w:r w:rsidRPr="0077280D">
        <w:rPr>
          <w:lang w:val="pl-PL"/>
        </w:rPr>
        <w:lastRenderedPageBreak/>
        <w:t>i zaht</w:t>
      </w:r>
      <w:r w:rsidR="00034456" w:rsidRPr="0077280D">
        <w:rPr>
          <w:lang w:val="pl-PL"/>
        </w:rPr>
        <w:t>j</w:t>
      </w:r>
      <w:r w:rsidRPr="0077280D">
        <w:rPr>
          <w:lang w:val="pl-PL"/>
        </w:rPr>
        <w:t>eve utvrđene za pojedine oblasti, kako je u skladu sa Pravilima akreditacije prim</w:t>
      </w:r>
      <w:r w:rsidR="00034456" w:rsidRPr="0077280D">
        <w:rPr>
          <w:lang w:val="pl-PL"/>
        </w:rPr>
        <w:t>j</w:t>
      </w:r>
      <w:r w:rsidRPr="0077280D">
        <w:rPr>
          <w:lang w:val="pl-PL"/>
        </w:rPr>
        <w:t>enljivo za TOU koje je potpisnik ovog ugovora, AT</w:t>
      </w:r>
      <w:r w:rsidR="00034456" w:rsidRPr="0077280D">
        <w:rPr>
          <w:lang w:val="pl-PL"/>
        </w:rPr>
        <w:t>CG</w:t>
      </w:r>
      <w:r w:rsidRPr="0077280D">
        <w:rPr>
          <w:lang w:val="pl-PL"/>
        </w:rPr>
        <w:t xml:space="preserve"> donosi odluku o akreditaciji i izdaje TOU sertifikat o akreditaciji, koji važi četiri godine.</w:t>
      </w:r>
    </w:p>
    <w:p w14:paraId="7F5E29B3" w14:textId="56A727D1" w:rsidR="00E25C86" w:rsidRPr="00074B52" w:rsidRDefault="00E25C86" w:rsidP="0012715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14:paraId="750A6D47" w14:textId="70219A88" w:rsidR="00127155" w:rsidRPr="00074B52" w:rsidRDefault="00663776" w:rsidP="00127155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>Član 1</w:t>
      </w:r>
      <w:r w:rsidR="00074B52" w:rsidRPr="00074B52">
        <w:rPr>
          <w:rFonts w:ascii="Times New Roman" w:hAnsi="Times New Roman" w:cs="Times New Roman"/>
          <w:color w:val="auto"/>
          <w:lang w:val="pl-PL"/>
        </w:rPr>
        <w:t>5</w:t>
      </w:r>
    </w:p>
    <w:p w14:paraId="4CA1DF27" w14:textId="77777777" w:rsidR="00A06036" w:rsidRPr="00395E90" w:rsidRDefault="00A06036" w:rsidP="00A06036">
      <w:pPr>
        <w:jc w:val="both"/>
        <w:rPr>
          <w:sz w:val="10"/>
          <w:szCs w:val="10"/>
          <w:lang w:val="pl-PL"/>
        </w:rPr>
      </w:pPr>
    </w:p>
    <w:p w14:paraId="6DF6C138" w14:textId="564C0A3E" w:rsidR="00034456" w:rsidRPr="0077280D" w:rsidRDefault="004A0877" w:rsidP="00A06036">
      <w:pPr>
        <w:jc w:val="both"/>
        <w:rPr>
          <w:lang w:val="pl-PL"/>
        </w:rPr>
      </w:pPr>
      <w:r w:rsidRPr="0077280D">
        <w:rPr>
          <w:lang w:val="pl-PL"/>
        </w:rPr>
        <w:t xml:space="preserve">ATCG se obavezuje da </w:t>
      </w:r>
      <w:r w:rsidR="00034456" w:rsidRPr="0077280D">
        <w:rPr>
          <w:lang w:val="pl-PL"/>
        </w:rPr>
        <w:t>će sprovesti postupak početne akreditacije TOU po podnijetom zahtjevu  za akreditaciju, u roku navedenom u Pravilima akreditacije.</w:t>
      </w:r>
    </w:p>
    <w:p w14:paraId="65CB7EC9" w14:textId="77777777" w:rsidR="004A0877" w:rsidRPr="0077280D" w:rsidRDefault="004A0877" w:rsidP="00A06036">
      <w:pPr>
        <w:jc w:val="both"/>
        <w:rPr>
          <w:lang w:val="pl-PL"/>
        </w:rPr>
      </w:pPr>
    </w:p>
    <w:p w14:paraId="2E5F6EF7" w14:textId="5465F096" w:rsidR="00034456" w:rsidRPr="0077280D" w:rsidRDefault="00034456" w:rsidP="00A06036">
      <w:pPr>
        <w:jc w:val="both"/>
        <w:rPr>
          <w:lang w:val="pl-PL"/>
        </w:rPr>
      </w:pPr>
      <w:r w:rsidRPr="0077280D">
        <w:rPr>
          <w:lang w:val="pl-PL"/>
        </w:rPr>
        <w:t>U slučaju da ATCG ne okonča postupak akreditacije u roku navedenom u Pravilima akreditacije, ATCG je dužan da izvrši povraćaj uplaćenog iznosa na ime troškova akreditacije na račun TOU u roku od 30 dana od dana isteka roka.</w:t>
      </w:r>
    </w:p>
    <w:p w14:paraId="3E27B72A" w14:textId="77777777" w:rsidR="00034456" w:rsidRPr="0077280D" w:rsidRDefault="00034456" w:rsidP="00A06036">
      <w:pPr>
        <w:jc w:val="both"/>
        <w:rPr>
          <w:lang w:val="pl-PL"/>
        </w:rPr>
      </w:pPr>
    </w:p>
    <w:p w14:paraId="5E284FD6" w14:textId="7F07C1F7" w:rsidR="00034456" w:rsidRPr="00395E90" w:rsidRDefault="00034456" w:rsidP="00A06036">
      <w:pPr>
        <w:jc w:val="both"/>
        <w:rPr>
          <w:lang w:val="pl-PL"/>
        </w:rPr>
      </w:pPr>
      <w:r w:rsidRPr="00395E90">
        <w:rPr>
          <w:lang w:val="pl-PL"/>
        </w:rPr>
        <w:t>Uk</w:t>
      </w:r>
      <w:r w:rsidR="004A0877" w:rsidRPr="00395E90">
        <w:rPr>
          <w:lang w:val="pl-PL"/>
        </w:rPr>
        <w:t xml:space="preserve">oliko TOU odustane od zahtjeva </w:t>
      </w:r>
      <w:r w:rsidRPr="00395E90">
        <w:rPr>
          <w:lang w:val="pl-PL"/>
        </w:rPr>
        <w:t>za akreditaciju,</w:t>
      </w:r>
      <w:r w:rsidR="008832AD" w:rsidRPr="00395E90">
        <w:rPr>
          <w:lang w:val="pl-PL"/>
        </w:rPr>
        <w:t xml:space="preserve">ili mu se zbog nezadovoljenja kriterijuma akreditacije </w:t>
      </w:r>
      <w:r w:rsidRPr="00395E90">
        <w:rPr>
          <w:lang w:val="pl-PL"/>
        </w:rPr>
        <w:t xml:space="preserve"> ne</w:t>
      </w:r>
      <w:r w:rsidR="008832AD" w:rsidRPr="00395E90">
        <w:rPr>
          <w:lang w:val="pl-PL"/>
        </w:rPr>
        <w:t xml:space="preserve"> dodjeli akreditacija, ne </w:t>
      </w:r>
      <w:r w:rsidRPr="00395E90">
        <w:rPr>
          <w:lang w:val="pl-PL"/>
        </w:rPr>
        <w:t xml:space="preserve"> vrši se povraćaj uplaćenog iznosa na ime troškova akreditacije.</w:t>
      </w:r>
    </w:p>
    <w:p w14:paraId="04ECDE53" w14:textId="77777777" w:rsidR="008832AD" w:rsidRPr="00395E90" w:rsidRDefault="008832AD" w:rsidP="008832AD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</w:p>
    <w:p w14:paraId="633B2B86" w14:textId="1AC1CECD" w:rsidR="008832AD" w:rsidRPr="00074B52" w:rsidRDefault="008832AD" w:rsidP="008832AD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>Član 1</w:t>
      </w:r>
      <w:r w:rsidR="00074B52" w:rsidRPr="00074B52">
        <w:rPr>
          <w:rFonts w:ascii="Times New Roman" w:hAnsi="Times New Roman" w:cs="Times New Roman"/>
          <w:color w:val="auto"/>
          <w:lang w:val="pl-PL"/>
        </w:rPr>
        <w:t>6</w:t>
      </w:r>
    </w:p>
    <w:p w14:paraId="1F9FF2B4" w14:textId="77777777" w:rsidR="008832AD" w:rsidRPr="00F43848" w:rsidRDefault="008832AD" w:rsidP="00034456">
      <w:pPr>
        <w:pStyle w:val="Default"/>
        <w:jc w:val="center"/>
        <w:rPr>
          <w:rFonts w:ascii="Times New Roman" w:hAnsi="Times New Roman" w:cs="Times New Roman"/>
          <w:color w:val="auto"/>
          <w:sz w:val="10"/>
          <w:szCs w:val="10"/>
          <w:lang w:val="pl-PL"/>
        </w:rPr>
      </w:pPr>
    </w:p>
    <w:p w14:paraId="24EFF5C4" w14:textId="77777777" w:rsidR="0097019C" w:rsidRPr="0077280D" w:rsidRDefault="0097019C" w:rsidP="00A06036">
      <w:pPr>
        <w:jc w:val="both"/>
        <w:rPr>
          <w:lang w:val="pl-PL"/>
        </w:rPr>
      </w:pPr>
      <w:r w:rsidRPr="0077280D">
        <w:rPr>
          <w:lang w:val="pl-PL"/>
        </w:rPr>
        <w:t xml:space="preserve">ATCG je dužno da: </w:t>
      </w:r>
    </w:p>
    <w:p w14:paraId="0E24D054" w14:textId="0108005E" w:rsidR="0097019C" w:rsidRPr="0077280D" w:rsidRDefault="004A0877" w:rsidP="004A0877">
      <w:pPr>
        <w:pStyle w:val="ListParagraph"/>
        <w:numPr>
          <w:ilvl w:val="0"/>
          <w:numId w:val="6"/>
        </w:numPr>
        <w:ind w:left="426"/>
        <w:rPr>
          <w:lang w:val="pl-PL"/>
        </w:rPr>
      </w:pPr>
      <w:r w:rsidRPr="0077280D">
        <w:rPr>
          <w:lang w:val="pl-PL"/>
        </w:rPr>
        <w:t xml:space="preserve">osoblje </w:t>
      </w:r>
      <w:r w:rsidR="0097019C" w:rsidRPr="0077280D">
        <w:rPr>
          <w:lang w:val="pl-PL"/>
        </w:rPr>
        <w:t>koje učestvuje u postupku akreditacije bude kompetentno, nezavisno u odnosu na TOU i nepristrasno u obavljanju aktivnosti u postupku akreditacije TOU;</w:t>
      </w:r>
    </w:p>
    <w:p w14:paraId="49F6B40A" w14:textId="30A3157B" w:rsidR="0097019C" w:rsidRPr="0077280D" w:rsidRDefault="0097019C" w:rsidP="004A0877">
      <w:pPr>
        <w:pStyle w:val="ListParagraph"/>
        <w:numPr>
          <w:ilvl w:val="0"/>
          <w:numId w:val="6"/>
        </w:numPr>
        <w:ind w:left="426"/>
        <w:rPr>
          <w:lang w:val="pl-PL"/>
        </w:rPr>
      </w:pPr>
      <w:r w:rsidRPr="0077280D">
        <w:rPr>
          <w:lang w:val="pl-PL"/>
        </w:rPr>
        <w:t>realizuje javnu dostupnost ažurnih neophodnih informacija o dodjeljenoj akreditaciji TOU;</w:t>
      </w:r>
    </w:p>
    <w:p w14:paraId="1865B1A3" w14:textId="04E9CECE" w:rsidR="0097019C" w:rsidRPr="0077280D" w:rsidRDefault="0097019C" w:rsidP="004A0877">
      <w:pPr>
        <w:pStyle w:val="ListParagraph"/>
        <w:numPr>
          <w:ilvl w:val="0"/>
          <w:numId w:val="6"/>
        </w:numPr>
        <w:ind w:left="426"/>
        <w:rPr>
          <w:lang w:val="pl-PL"/>
        </w:rPr>
      </w:pPr>
      <w:r w:rsidRPr="0077280D">
        <w:rPr>
          <w:lang w:val="pl-PL"/>
        </w:rPr>
        <w:t>pravovremeno informiše o izm</w:t>
      </w:r>
      <w:r w:rsidR="004A0877" w:rsidRPr="0077280D">
        <w:rPr>
          <w:lang w:val="pl-PL"/>
        </w:rPr>
        <w:t>jenama zahtjeva za akreditaciju</w:t>
      </w:r>
      <w:r w:rsidRPr="0077280D">
        <w:rPr>
          <w:lang w:val="pl-PL"/>
        </w:rPr>
        <w:t>, te da uspostavi rok do koga se promjene moraju primjeniti od strane TOU, kao i o načinima na koji će ATCG verifikovati da li je TOU izvršilo neophodna prilagođavanja izmjenjenim zahtjevima;</w:t>
      </w:r>
    </w:p>
    <w:p w14:paraId="105C7111" w14:textId="1B058786" w:rsidR="0097019C" w:rsidRPr="0077280D" w:rsidRDefault="004A0877" w:rsidP="004A0877">
      <w:pPr>
        <w:pStyle w:val="ListParagraph"/>
        <w:numPr>
          <w:ilvl w:val="0"/>
          <w:numId w:val="6"/>
        </w:numPr>
        <w:ind w:left="426"/>
        <w:rPr>
          <w:lang w:val="pl-PL"/>
        </w:rPr>
      </w:pPr>
      <w:r w:rsidRPr="0077280D">
        <w:rPr>
          <w:lang w:val="pl-PL"/>
        </w:rPr>
        <w:t>osigura</w:t>
      </w:r>
      <w:r w:rsidR="0097019C" w:rsidRPr="0077280D">
        <w:rPr>
          <w:lang w:val="pl-PL"/>
        </w:rPr>
        <w:t xml:space="preserve"> informacije o obezbjeđenju prihvatljive sledljivosti rezultata mjerenja, ako se ista koriste u postupcima ocjenjivanja usaglašenosti za koje se TOU akredituje.</w:t>
      </w:r>
    </w:p>
    <w:p w14:paraId="4785F902" w14:textId="77777777" w:rsidR="008832AD" w:rsidRPr="00074B52" w:rsidRDefault="008832AD" w:rsidP="00034456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</w:p>
    <w:p w14:paraId="20D69F1B" w14:textId="2D2D48F3" w:rsidR="00034456" w:rsidRPr="00074B52" w:rsidRDefault="00034456" w:rsidP="00034456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>Član 1</w:t>
      </w:r>
      <w:r w:rsidR="00074B52" w:rsidRPr="00074B52">
        <w:rPr>
          <w:rFonts w:ascii="Times New Roman" w:hAnsi="Times New Roman" w:cs="Times New Roman"/>
          <w:color w:val="auto"/>
          <w:lang w:val="pl-PL"/>
        </w:rPr>
        <w:t>7</w:t>
      </w:r>
    </w:p>
    <w:p w14:paraId="2C0F2120" w14:textId="77777777" w:rsidR="00127155" w:rsidRPr="00F43848" w:rsidRDefault="00127155" w:rsidP="00127155">
      <w:pPr>
        <w:pStyle w:val="Default"/>
        <w:jc w:val="center"/>
        <w:rPr>
          <w:rFonts w:ascii="Times New Roman" w:hAnsi="Times New Roman" w:cs="Times New Roman"/>
          <w:color w:val="auto"/>
          <w:sz w:val="10"/>
          <w:szCs w:val="10"/>
          <w:lang w:val="pl-PL"/>
        </w:rPr>
      </w:pPr>
    </w:p>
    <w:p w14:paraId="6274F1D1" w14:textId="28B3D552" w:rsidR="00034456" w:rsidRPr="0077280D" w:rsidRDefault="00034456" w:rsidP="00034456">
      <w:pPr>
        <w:rPr>
          <w:lang w:val="pl-PL"/>
        </w:rPr>
      </w:pPr>
      <w:r w:rsidRPr="0077280D">
        <w:rPr>
          <w:lang w:val="pl-PL"/>
        </w:rPr>
        <w:t>ATCG ima pravo i obavezu da u skladu sa Pravilima akreditacije, TOU dodjeli/ne dodjeli akreditaciju, obnovi/ne obnovi akreditaciju, izmjeni obim akreditacije (proširenje/smanjenje obima akreditacije), održava akreditaciju, suspenduje ili povuče akreditaciju ili prekine postupak akreditacije.</w:t>
      </w:r>
    </w:p>
    <w:p w14:paraId="160B7A5E" w14:textId="77777777" w:rsidR="00034456" w:rsidRPr="0077280D" w:rsidRDefault="00034456" w:rsidP="00034456">
      <w:pPr>
        <w:rPr>
          <w:lang w:val="pl-PL"/>
        </w:rPr>
      </w:pPr>
    </w:p>
    <w:p w14:paraId="5F92B668" w14:textId="0E757329" w:rsidR="008832AD" w:rsidRPr="00A06036" w:rsidRDefault="00127155" w:rsidP="00A06036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>U slučaju neispunjavanja kriterijuma po kojim je dodijeljena akreditacija, ATCG ima pravo da izvrši suspenziju ili ukidanje dijela obima akreditacije ili obim akreditacije u cjelosti.</w:t>
      </w:r>
      <w:r w:rsidR="00126690" w:rsidRPr="00074B52">
        <w:rPr>
          <w:rFonts w:ascii="Times New Roman" w:hAnsi="Times New Roman" w:cs="Times New Roman"/>
          <w:color w:val="auto"/>
          <w:lang w:val="pl-PL"/>
        </w:rPr>
        <w:t xml:space="preserve"> ATCG se obavezuje da će zahtjeve </w:t>
      </w:r>
      <w:r w:rsidR="008832AD" w:rsidRPr="00074B52">
        <w:rPr>
          <w:rFonts w:ascii="Times New Roman" w:hAnsi="Times New Roman" w:cs="Times New Roman"/>
          <w:bCs/>
          <w:color w:val="auto"/>
          <w:lang w:val="sr-Latn-CS"/>
        </w:rPr>
        <w:t xml:space="preserve">TOU </w:t>
      </w:r>
      <w:r w:rsidR="00126690" w:rsidRPr="00074B52">
        <w:rPr>
          <w:rFonts w:ascii="Times New Roman" w:hAnsi="Times New Roman" w:cs="Times New Roman"/>
          <w:color w:val="auto"/>
          <w:lang w:val="pl-PL"/>
        </w:rPr>
        <w:t xml:space="preserve"> za proširenje, smanjenje i ostale izmjene u dodjeljenoj akreditaciji </w:t>
      </w:r>
      <w:r w:rsidR="008832AD" w:rsidRPr="00074B52">
        <w:rPr>
          <w:rFonts w:ascii="Times New Roman" w:hAnsi="Times New Roman" w:cs="Times New Roman"/>
          <w:color w:val="auto"/>
          <w:lang w:val="pl-PL"/>
        </w:rPr>
        <w:t xml:space="preserve"> ispunjavati </w:t>
      </w:r>
      <w:r w:rsidR="00126690" w:rsidRPr="00074B52">
        <w:rPr>
          <w:rFonts w:ascii="Times New Roman" w:hAnsi="Times New Roman" w:cs="Times New Roman"/>
          <w:color w:val="auto"/>
          <w:lang w:val="pl-PL"/>
        </w:rPr>
        <w:t xml:space="preserve"> u skladu sa pravilom ATCG </w:t>
      </w:r>
      <w:r w:rsidR="00450267" w:rsidRPr="00074B52">
        <w:rPr>
          <w:rFonts w:ascii="Times New Roman" w:hAnsi="Times New Roman" w:cs="Times New Roman"/>
          <w:color w:val="auto"/>
          <w:lang w:val="pl-PL"/>
        </w:rPr>
        <w:t>PA</w:t>
      </w:r>
      <w:r w:rsidR="00126690" w:rsidRPr="00074B52">
        <w:rPr>
          <w:rFonts w:ascii="Times New Roman" w:hAnsi="Times New Roman" w:cs="Times New Roman"/>
          <w:color w:val="auto"/>
          <w:lang w:val="pl-PL"/>
        </w:rPr>
        <w:t>.01 Pravila akreditacije.</w:t>
      </w:r>
    </w:p>
    <w:p w14:paraId="02BD3081" w14:textId="77777777" w:rsidR="00127155" w:rsidRPr="00074B52" w:rsidRDefault="00127155" w:rsidP="00127155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</w:p>
    <w:p w14:paraId="6B3C409E" w14:textId="77777777" w:rsidR="00F43848" w:rsidRDefault="00F43848" w:rsidP="00127155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</w:p>
    <w:p w14:paraId="2EFA6469" w14:textId="788040A0" w:rsidR="00127155" w:rsidRPr="00074B52" w:rsidRDefault="00663776" w:rsidP="00127155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lastRenderedPageBreak/>
        <w:t>Član 1</w:t>
      </w:r>
      <w:r w:rsidR="00074B52" w:rsidRPr="00074B52">
        <w:rPr>
          <w:rFonts w:ascii="Times New Roman" w:hAnsi="Times New Roman" w:cs="Times New Roman"/>
          <w:color w:val="auto"/>
          <w:lang w:val="pl-PL"/>
        </w:rPr>
        <w:t>8</w:t>
      </w:r>
    </w:p>
    <w:p w14:paraId="56EAD5AE" w14:textId="77777777" w:rsidR="00127155" w:rsidRPr="00F43848" w:rsidRDefault="00127155" w:rsidP="00127155">
      <w:pPr>
        <w:pStyle w:val="Default"/>
        <w:jc w:val="center"/>
        <w:rPr>
          <w:rFonts w:ascii="Times New Roman" w:hAnsi="Times New Roman" w:cs="Times New Roman"/>
          <w:color w:val="auto"/>
          <w:sz w:val="10"/>
          <w:szCs w:val="10"/>
          <w:lang w:val="pl-PL"/>
        </w:rPr>
      </w:pPr>
    </w:p>
    <w:p w14:paraId="0246E1C4" w14:textId="53791C2D" w:rsidR="0097019C" w:rsidRPr="00A06036" w:rsidRDefault="00127155" w:rsidP="00A06036">
      <w:pPr>
        <w:pStyle w:val="Default"/>
        <w:jc w:val="both"/>
        <w:rPr>
          <w:rFonts w:ascii="Times New Roman" w:hAnsi="Times New Roman" w:cs="Times New Roman"/>
          <w:bCs/>
          <w:color w:val="auto"/>
          <w:lang w:val="sr-Latn-CS"/>
        </w:rPr>
      </w:pPr>
      <w:r w:rsidRPr="00A06036">
        <w:rPr>
          <w:rFonts w:ascii="Times New Roman" w:hAnsi="Times New Roman" w:cs="Times New Roman"/>
          <w:color w:val="auto"/>
          <w:lang w:val="pl-PL"/>
        </w:rPr>
        <w:t>Zaposleni u ATCG i svi eksterni saradnici koji učestvuju u postupku akreditacije su obavezni da čuvaju i podrazumijevaju kao povjerljive sve informacije koje se smatraju vlasništvom</w:t>
      </w:r>
      <w:r w:rsidRPr="00A06036">
        <w:rPr>
          <w:rFonts w:ascii="Times New Roman" w:hAnsi="Times New Roman" w:cs="Times New Roman"/>
          <w:b/>
          <w:bCs/>
          <w:color w:val="auto"/>
          <w:lang w:val="sr-Latn-CS"/>
        </w:rPr>
        <w:t xml:space="preserve"> </w:t>
      </w:r>
      <w:r w:rsidR="0097019C" w:rsidRPr="00A06036">
        <w:rPr>
          <w:rFonts w:ascii="Times New Roman" w:hAnsi="Times New Roman" w:cs="Times New Roman"/>
          <w:bCs/>
          <w:color w:val="auto"/>
          <w:lang w:val="sr-Latn-CS"/>
        </w:rPr>
        <w:t>TOU</w:t>
      </w:r>
      <w:r w:rsidR="00074B52" w:rsidRPr="00A06036">
        <w:rPr>
          <w:rFonts w:ascii="Times New Roman" w:hAnsi="Times New Roman" w:cs="Times New Roman"/>
          <w:bCs/>
          <w:color w:val="auto"/>
          <w:lang w:val="sr-Latn-CS"/>
        </w:rPr>
        <w:t>,</w:t>
      </w:r>
      <w:r w:rsidR="00074B52" w:rsidRPr="0077280D">
        <w:rPr>
          <w:rFonts w:ascii="Times New Roman" w:hAnsi="Times New Roman" w:cs="Times New Roman"/>
          <w:color w:val="auto"/>
          <w:lang w:val="pl-PL"/>
        </w:rPr>
        <w:t xml:space="preserve"> osim ako se zakonom zahtjeva drugačije.</w:t>
      </w:r>
    </w:p>
    <w:p w14:paraId="09686CFF" w14:textId="77777777" w:rsidR="0097019C" w:rsidRPr="0077280D" w:rsidRDefault="0097019C" w:rsidP="00A06036">
      <w:pPr>
        <w:jc w:val="both"/>
        <w:rPr>
          <w:lang w:val="pl-PL"/>
        </w:rPr>
      </w:pPr>
      <w:r w:rsidRPr="0077280D">
        <w:rPr>
          <w:lang w:val="pl-PL"/>
        </w:rPr>
        <w:t xml:space="preserve">Postupanje u skladu sa zakonom, odnosno postupanje po sudskoj odluci, ne smatra se neovlašćenim otkrivanjem poverljivih informacija. </w:t>
      </w:r>
    </w:p>
    <w:p w14:paraId="48F1AFA9" w14:textId="4B0D973E" w:rsidR="00127155" w:rsidRDefault="00127155" w:rsidP="0012715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14:paraId="7AECC301" w14:textId="4B0DE9F7" w:rsidR="00127155" w:rsidRPr="00074B52" w:rsidRDefault="00663776" w:rsidP="00127155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>Član 1</w:t>
      </w:r>
      <w:r w:rsidR="00074B52" w:rsidRPr="00074B52">
        <w:rPr>
          <w:rFonts w:ascii="Times New Roman" w:hAnsi="Times New Roman" w:cs="Times New Roman"/>
          <w:color w:val="auto"/>
          <w:lang w:val="pl-PL"/>
        </w:rPr>
        <w:t>9</w:t>
      </w:r>
    </w:p>
    <w:p w14:paraId="6801EAAE" w14:textId="77777777" w:rsidR="00127155" w:rsidRPr="00F43848" w:rsidRDefault="00127155" w:rsidP="00127155">
      <w:pPr>
        <w:pStyle w:val="Default"/>
        <w:jc w:val="center"/>
        <w:rPr>
          <w:rFonts w:ascii="Times New Roman" w:hAnsi="Times New Roman" w:cs="Times New Roman"/>
          <w:color w:val="auto"/>
          <w:sz w:val="10"/>
          <w:szCs w:val="10"/>
          <w:lang w:val="pl-PL"/>
        </w:rPr>
      </w:pPr>
    </w:p>
    <w:p w14:paraId="2C951604" w14:textId="77777777" w:rsidR="00127155" w:rsidRPr="00074B52" w:rsidRDefault="00127155" w:rsidP="0012715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 xml:space="preserve">ATCG je odgovorno za povrede svojih obaveza koje proizilaze iz ovog Ugovora. </w:t>
      </w:r>
    </w:p>
    <w:p w14:paraId="6E7A5424" w14:textId="77777777" w:rsidR="00127155" w:rsidRPr="00074B52" w:rsidRDefault="00127155" w:rsidP="00127155">
      <w:pPr>
        <w:pStyle w:val="Default"/>
        <w:rPr>
          <w:rFonts w:ascii="Times New Roman" w:hAnsi="Times New Roman" w:cs="Times New Roman"/>
          <w:color w:val="auto"/>
          <w:lang w:val="pl-PL"/>
        </w:rPr>
      </w:pPr>
    </w:p>
    <w:p w14:paraId="1A317120" w14:textId="77777777" w:rsidR="009D02A3" w:rsidRDefault="009D02A3" w:rsidP="00127155">
      <w:pPr>
        <w:pStyle w:val="Default"/>
        <w:jc w:val="center"/>
        <w:rPr>
          <w:rFonts w:ascii="Times New Roman" w:hAnsi="Times New Roman" w:cs="Times New Roman"/>
          <w:b/>
          <w:color w:val="auto"/>
          <w:lang w:val="pl-PL"/>
        </w:rPr>
      </w:pPr>
    </w:p>
    <w:p w14:paraId="65FAEE39" w14:textId="50BA67EB" w:rsidR="00127155" w:rsidRPr="00074B52" w:rsidRDefault="00127155" w:rsidP="00127155">
      <w:pPr>
        <w:pStyle w:val="Default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074B52">
        <w:rPr>
          <w:rFonts w:ascii="Times New Roman" w:hAnsi="Times New Roman" w:cs="Times New Roman"/>
          <w:b/>
          <w:color w:val="auto"/>
          <w:lang w:val="pl-PL"/>
        </w:rPr>
        <w:t>Trajanje Ugovora</w:t>
      </w:r>
    </w:p>
    <w:p w14:paraId="6691F85E" w14:textId="77777777" w:rsidR="00127155" w:rsidRPr="00074B52" w:rsidRDefault="00127155" w:rsidP="00127155">
      <w:pPr>
        <w:pStyle w:val="Default"/>
        <w:jc w:val="center"/>
        <w:rPr>
          <w:rFonts w:ascii="Times New Roman" w:hAnsi="Times New Roman" w:cs="Times New Roman"/>
          <w:b/>
          <w:color w:val="auto"/>
          <w:lang w:val="pl-PL"/>
        </w:rPr>
      </w:pPr>
    </w:p>
    <w:p w14:paraId="08F20B10" w14:textId="552883D4" w:rsidR="00127155" w:rsidRPr="00074B52" w:rsidRDefault="00663776" w:rsidP="00127155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 xml:space="preserve">Član </w:t>
      </w:r>
      <w:r w:rsidR="00074B52" w:rsidRPr="00074B52">
        <w:rPr>
          <w:rFonts w:ascii="Times New Roman" w:hAnsi="Times New Roman" w:cs="Times New Roman"/>
          <w:color w:val="auto"/>
          <w:lang w:val="pl-PL"/>
        </w:rPr>
        <w:t>20</w:t>
      </w:r>
    </w:p>
    <w:p w14:paraId="489F2148" w14:textId="77777777" w:rsidR="00127155" w:rsidRPr="00F43848" w:rsidRDefault="00127155" w:rsidP="00127155">
      <w:pPr>
        <w:pStyle w:val="Default"/>
        <w:jc w:val="center"/>
        <w:rPr>
          <w:rFonts w:ascii="Times New Roman" w:hAnsi="Times New Roman" w:cs="Times New Roman"/>
          <w:color w:val="auto"/>
          <w:sz w:val="10"/>
          <w:szCs w:val="10"/>
          <w:lang w:val="pl-PL"/>
        </w:rPr>
      </w:pPr>
    </w:p>
    <w:p w14:paraId="1BCC910A" w14:textId="046F450F" w:rsidR="00127155" w:rsidRPr="00074B52" w:rsidRDefault="00127155" w:rsidP="0012715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 xml:space="preserve">Ovaj Ugovor važi do </w:t>
      </w:r>
      <w:r w:rsidR="00745C33" w:rsidRPr="00074B52">
        <w:rPr>
          <w:rFonts w:ascii="Times New Roman" w:hAnsi="Times New Roman" w:cs="Times New Roman"/>
          <w:color w:val="auto"/>
          <w:lang w:val="pl-PL"/>
        </w:rPr>
        <w:t xml:space="preserve">isteka roka važenja akreditacije, </w:t>
      </w:r>
      <w:r w:rsidR="00450267" w:rsidRPr="00074B52">
        <w:rPr>
          <w:rFonts w:ascii="Times New Roman" w:hAnsi="Times New Roman" w:cs="Times New Roman"/>
          <w:color w:val="auto"/>
          <w:lang w:val="pl-PL"/>
        </w:rPr>
        <w:t xml:space="preserve">odnosno 4 godine od dana dodjele akreditacije, </w:t>
      </w:r>
      <w:r w:rsidR="00745C33" w:rsidRPr="00074B52">
        <w:rPr>
          <w:rFonts w:ascii="Times New Roman" w:hAnsi="Times New Roman" w:cs="Times New Roman"/>
          <w:color w:val="auto"/>
          <w:lang w:val="pl-PL"/>
        </w:rPr>
        <w:t xml:space="preserve">ukoliko </w:t>
      </w:r>
      <w:r w:rsidR="00450267" w:rsidRPr="00074B52">
        <w:rPr>
          <w:rFonts w:ascii="Times New Roman" w:hAnsi="Times New Roman" w:cs="Times New Roman"/>
          <w:color w:val="auto"/>
          <w:lang w:val="pl-PL"/>
        </w:rPr>
        <w:t xml:space="preserve">se prije isteka toga roka </w:t>
      </w:r>
      <w:r w:rsidR="00706036" w:rsidRPr="00074B52">
        <w:rPr>
          <w:rFonts w:ascii="Times New Roman" w:hAnsi="Times New Roman" w:cs="Times New Roman"/>
          <w:bCs/>
          <w:color w:val="auto"/>
          <w:lang w:val="sr-Latn-CS"/>
        </w:rPr>
        <w:t>ne steknu uslovi za raskid Ugovora.</w:t>
      </w:r>
    </w:p>
    <w:p w14:paraId="6E120E41" w14:textId="77777777" w:rsidR="009D02A3" w:rsidRDefault="009D02A3" w:rsidP="00127155">
      <w:pPr>
        <w:pStyle w:val="Default"/>
        <w:jc w:val="center"/>
        <w:rPr>
          <w:rFonts w:ascii="Times New Roman" w:hAnsi="Times New Roman" w:cs="Times New Roman"/>
          <w:color w:val="auto"/>
          <w:lang w:val="it-IT"/>
        </w:rPr>
      </w:pPr>
    </w:p>
    <w:p w14:paraId="11E4E3DC" w14:textId="2EDB34F4" w:rsidR="00127155" w:rsidRPr="00074B52" w:rsidRDefault="00663776" w:rsidP="00127155">
      <w:pPr>
        <w:pStyle w:val="Default"/>
        <w:jc w:val="center"/>
        <w:rPr>
          <w:rFonts w:ascii="Times New Roman" w:hAnsi="Times New Roman" w:cs="Times New Roman"/>
          <w:color w:val="auto"/>
          <w:lang w:val="it-IT"/>
        </w:rPr>
      </w:pPr>
      <w:r w:rsidRPr="00074B52">
        <w:rPr>
          <w:rFonts w:ascii="Times New Roman" w:hAnsi="Times New Roman" w:cs="Times New Roman"/>
          <w:color w:val="auto"/>
          <w:lang w:val="it-IT"/>
        </w:rPr>
        <w:t xml:space="preserve">Član </w:t>
      </w:r>
      <w:r w:rsidR="00074B52" w:rsidRPr="00074B52">
        <w:rPr>
          <w:rFonts w:ascii="Times New Roman" w:hAnsi="Times New Roman" w:cs="Times New Roman"/>
          <w:color w:val="auto"/>
          <w:lang w:val="it-IT"/>
        </w:rPr>
        <w:t>21</w:t>
      </w:r>
    </w:p>
    <w:p w14:paraId="15061D61" w14:textId="77777777" w:rsidR="000E54D8" w:rsidRPr="00F43848" w:rsidRDefault="000E54D8" w:rsidP="00127155">
      <w:pPr>
        <w:pStyle w:val="Default"/>
        <w:jc w:val="center"/>
        <w:rPr>
          <w:rFonts w:ascii="Times New Roman" w:hAnsi="Times New Roman" w:cs="Times New Roman"/>
          <w:color w:val="auto"/>
          <w:sz w:val="10"/>
          <w:szCs w:val="10"/>
          <w:lang w:val="it-IT"/>
        </w:rPr>
      </w:pPr>
    </w:p>
    <w:p w14:paraId="26A1DD65" w14:textId="77777777" w:rsidR="00127155" w:rsidRPr="00074B52" w:rsidRDefault="00127155" w:rsidP="00127155">
      <w:pPr>
        <w:pStyle w:val="Default"/>
        <w:jc w:val="both"/>
        <w:rPr>
          <w:rFonts w:ascii="Times New Roman" w:hAnsi="Times New Roman" w:cs="Times New Roman"/>
          <w:color w:val="auto"/>
          <w:lang w:val="it-IT"/>
        </w:rPr>
      </w:pPr>
      <w:r w:rsidRPr="00074B52">
        <w:rPr>
          <w:rFonts w:ascii="Times New Roman" w:hAnsi="Times New Roman" w:cs="Times New Roman"/>
          <w:color w:val="auto"/>
          <w:lang w:val="it-IT"/>
        </w:rPr>
        <w:t>Ovaj Ugovor se smatra raskinutim u slučaju:</w:t>
      </w:r>
    </w:p>
    <w:p w14:paraId="2AB72649" w14:textId="77777777" w:rsidR="00127155" w:rsidRPr="00074B52" w:rsidRDefault="00127155" w:rsidP="00127155">
      <w:pPr>
        <w:pStyle w:val="Default"/>
        <w:numPr>
          <w:ilvl w:val="0"/>
          <w:numId w:val="3"/>
        </w:numPr>
        <w:ind w:left="640" w:hanging="360"/>
        <w:jc w:val="both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 xml:space="preserve">- nedodjeljivanja akreditacije, </w:t>
      </w:r>
    </w:p>
    <w:p w14:paraId="15D51040" w14:textId="66137BFB" w:rsidR="00127155" w:rsidRPr="00F43848" w:rsidRDefault="00127155" w:rsidP="003135E3">
      <w:pPr>
        <w:pStyle w:val="Default"/>
        <w:numPr>
          <w:ilvl w:val="0"/>
          <w:numId w:val="3"/>
        </w:numPr>
        <w:ind w:left="640" w:hanging="360"/>
        <w:jc w:val="both"/>
        <w:rPr>
          <w:rFonts w:ascii="Times New Roman" w:hAnsi="Times New Roman" w:cs="Times New Roman"/>
          <w:color w:val="auto"/>
          <w:lang w:val="pl-PL"/>
        </w:rPr>
      </w:pPr>
      <w:r w:rsidRPr="00F43848">
        <w:rPr>
          <w:rFonts w:ascii="Times New Roman" w:hAnsi="Times New Roman" w:cs="Times New Roman"/>
          <w:color w:val="auto"/>
          <w:lang w:val="pl-PL"/>
        </w:rPr>
        <w:t xml:space="preserve">- ukidanja akreditacije. </w:t>
      </w:r>
    </w:p>
    <w:p w14:paraId="29DD32B4" w14:textId="5E6E9A5F" w:rsidR="00127155" w:rsidRPr="00074B52" w:rsidRDefault="00663776" w:rsidP="00127155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>Član 2</w:t>
      </w:r>
      <w:r w:rsidR="00074B52" w:rsidRPr="00074B52">
        <w:rPr>
          <w:rFonts w:ascii="Times New Roman" w:hAnsi="Times New Roman" w:cs="Times New Roman"/>
          <w:color w:val="auto"/>
          <w:lang w:val="pl-PL"/>
        </w:rPr>
        <w:t>2</w:t>
      </w:r>
    </w:p>
    <w:p w14:paraId="25EEF9DC" w14:textId="77777777" w:rsidR="00127155" w:rsidRPr="00F43848" w:rsidRDefault="00127155" w:rsidP="00127155">
      <w:pPr>
        <w:pStyle w:val="Default"/>
        <w:jc w:val="center"/>
        <w:rPr>
          <w:rFonts w:ascii="Times New Roman" w:hAnsi="Times New Roman" w:cs="Times New Roman"/>
          <w:color w:val="auto"/>
          <w:sz w:val="10"/>
          <w:szCs w:val="10"/>
          <w:lang w:val="pl-PL"/>
        </w:rPr>
      </w:pPr>
    </w:p>
    <w:p w14:paraId="5BF437EC" w14:textId="2EB7BDC6" w:rsidR="00127155" w:rsidRPr="00074B52" w:rsidRDefault="00127155" w:rsidP="0012715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 xml:space="preserve">Za  ponovno ocjenjivanje, </w:t>
      </w:r>
      <w:r w:rsidR="00450267" w:rsidRPr="00074B52">
        <w:rPr>
          <w:rFonts w:ascii="Times New Roman" w:hAnsi="Times New Roman" w:cs="Times New Roman"/>
          <w:color w:val="auto"/>
          <w:lang w:val="pl-PL"/>
        </w:rPr>
        <w:t xml:space="preserve">ugovorne strane će </w:t>
      </w:r>
      <w:r w:rsidRPr="00074B52">
        <w:rPr>
          <w:rFonts w:ascii="Times New Roman" w:hAnsi="Times New Roman" w:cs="Times New Roman"/>
          <w:color w:val="auto"/>
          <w:lang w:val="pl-PL"/>
        </w:rPr>
        <w:t>potpis</w:t>
      </w:r>
      <w:r w:rsidR="00450267" w:rsidRPr="00074B52">
        <w:rPr>
          <w:rFonts w:ascii="Times New Roman" w:hAnsi="Times New Roman" w:cs="Times New Roman"/>
          <w:color w:val="auto"/>
          <w:lang w:val="pl-PL"/>
        </w:rPr>
        <w:t xml:space="preserve">ati </w:t>
      </w:r>
      <w:r w:rsidRPr="00074B52">
        <w:rPr>
          <w:rFonts w:ascii="Times New Roman" w:hAnsi="Times New Roman" w:cs="Times New Roman"/>
          <w:color w:val="auto"/>
          <w:lang w:val="pl-PL"/>
        </w:rPr>
        <w:t xml:space="preserve"> novi Ugovor ili se ovaj Ugovor produžava za naredni period od četiri godine, uz obostrano potpisan aneks koji čini sastavni dio ovog Ugovora. </w:t>
      </w:r>
    </w:p>
    <w:p w14:paraId="4312521E" w14:textId="77777777" w:rsidR="00127155" w:rsidRPr="00074B52" w:rsidRDefault="00127155" w:rsidP="0012715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14:paraId="30E52CA1" w14:textId="6068E5AB" w:rsidR="00127155" w:rsidRPr="00074B52" w:rsidRDefault="00663776" w:rsidP="00127155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>Član 2</w:t>
      </w:r>
      <w:r w:rsidR="00074B52" w:rsidRPr="00074B52">
        <w:rPr>
          <w:rFonts w:ascii="Times New Roman" w:hAnsi="Times New Roman" w:cs="Times New Roman"/>
          <w:color w:val="auto"/>
          <w:lang w:val="pl-PL"/>
        </w:rPr>
        <w:t>3</w:t>
      </w:r>
      <w:r w:rsidR="00127155" w:rsidRPr="00074B52">
        <w:rPr>
          <w:rFonts w:ascii="Times New Roman" w:hAnsi="Times New Roman" w:cs="Times New Roman"/>
          <w:color w:val="auto"/>
          <w:lang w:val="pl-PL"/>
        </w:rPr>
        <w:t xml:space="preserve"> </w:t>
      </w:r>
    </w:p>
    <w:p w14:paraId="62EDED42" w14:textId="77777777" w:rsidR="00127155" w:rsidRPr="00F43848" w:rsidRDefault="00127155" w:rsidP="00127155">
      <w:pPr>
        <w:pStyle w:val="Default"/>
        <w:jc w:val="both"/>
        <w:rPr>
          <w:rFonts w:ascii="Times New Roman" w:hAnsi="Times New Roman" w:cs="Times New Roman"/>
          <w:color w:val="auto"/>
          <w:sz w:val="10"/>
          <w:szCs w:val="10"/>
          <w:lang w:val="pl-PL"/>
        </w:rPr>
      </w:pPr>
    </w:p>
    <w:p w14:paraId="5CB3F5D6" w14:textId="073C5C27" w:rsidR="00127155" w:rsidRPr="00074B52" w:rsidRDefault="00127155" w:rsidP="0012715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 xml:space="preserve">Nakon prestanka važenja ovog Ugovora </w:t>
      </w:r>
      <w:r w:rsidR="00074B52" w:rsidRPr="00074B52">
        <w:rPr>
          <w:rFonts w:ascii="Times New Roman" w:hAnsi="Times New Roman" w:cs="Times New Roman"/>
          <w:bCs/>
          <w:color w:val="auto"/>
          <w:lang w:val="sr-Latn-CS"/>
        </w:rPr>
        <w:t xml:space="preserve">TOU je obavezan </w:t>
      </w:r>
      <w:r w:rsidRPr="00074B52">
        <w:rPr>
          <w:rFonts w:ascii="Times New Roman" w:hAnsi="Times New Roman" w:cs="Times New Roman"/>
          <w:color w:val="auto"/>
          <w:lang w:val="pl-PL"/>
        </w:rPr>
        <w:t xml:space="preserve"> da ispoštuje:</w:t>
      </w:r>
    </w:p>
    <w:p w14:paraId="7EEAEC0E" w14:textId="77777777" w:rsidR="00127155" w:rsidRPr="00074B52" w:rsidRDefault="00127155" w:rsidP="00127155">
      <w:pPr>
        <w:pStyle w:val="Default"/>
        <w:ind w:left="420" w:hanging="140"/>
        <w:jc w:val="both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>- uslove koji se odnose na povjerljivost i</w:t>
      </w:r>
    </w:p>
    <w:p w14:paraId="0D5CE2CF" w14:textId="42FA3F0C" w:rsidR="00426241" w:rsidRPr="00074B52" w:rsidRDefault="00127155" w:rsidP="00063241">
      <w:pPr>
        <w:pStyle w:val="Default"/>
        <w:ind w:left="420" w:hanging="140"/>
        <w:jc w:val="both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 xml:space="preserve">- plaćanje neizmirenih troškova </w:t>
      </w:r>
      <w:r w:rsidR="00450267" w:rsidRPr="00074B52">
        <w:rPr>
          <w:rFonts w:ascii="Times New Roman" w:hAnsi="Times New Roman" w:cs="Times New Roman"/>
          <w:color w:val="auto"/>
          <w:lang w:val="pl-PL"/>
        </w:rPr>
        <w:t>akreditacije.</w:t>
      </w:r>
    </w:p>
    <w:p w14:paraId="39BA3B89" w14:textId="468197FC" w:rsidR="00A06036" w:rsidRDefault="00A06036" w:rsidP="00127155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</w:p>
    <w:p w14:paraId="3F75C916" w14:textId="34945629" w:rsidR="00127155" w:rsidRPr="00074B52" w:rsidRDefault="00663776" w:rsidP="00127155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>Član 2</w:t>
      </w:r>
      <w:r w:rsidR="00074B52" w:rsidRPr="00074B52">
        <w:rPr>
          <w:rFonts w:ascii="Times New Roman" w:hAnsi="Times New Roman" w:cs="Times New Roman"/>
          <w:color w:val="auto"/>
          <w:lang w:val="pl-PL"/>
        </w:rPr>
        <w:t>4</w:t>
      </w:r>
      <w:r w:rsidR="00127155" w:rsidRPr="00074B52">
        <w:rPr>
          <w:rFonts w:ascii="Times New Roman" w:hAnsi="Times New Roman" w:cs="Times New Roman"/>
          <w:color w:val="auto"/>
          <w:lang w:val="pl-PL"/>
        </w:rPr>
        <w:t xml:space="preserve"> </w:t>
      </w:r>
    </w:p>
    <w:p w14:paraId="24B01913" w14:textId="77777777" w:rsidR="00127155" w:rsidRPr="00F43848" w:rsidRDefault="00127155" w:rsidP="00127155">
      <w:pPr>
        <w:pStyle w:val="Default"/>
        <w:jc w:val="both"/>
        <w:rPr>
          <w:rFonts w:ascii="Times New Roman" w:hAnsi="Times New Roman" w:cs="Times New Roman"/>
          <w:color w:val="auto"/>
          <w:sz w:val="10"/>
          <w:szCs w:val="10"/>
          <w:lang w:val="pl-PL"/>
        </w:rPr>
      </w:pPr>
    </w:p>
    <w:p w14:paraId="12BEBDB4" w14:textId="77777777" w:rsidR="00127155" w:rsidRPr="00074B52" w:rsidRDefault="00127155" w:rsidP="0012715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>Nakon prestanka važenja ovog Ugovora ATCG je u obavezi da poštuje tajnost podataka do kojih je došlo u toku postupka akreditacije.</w:t>
      </w:r>
    </w:p>
    <w:p w14:paraId="7613B9D2" w14:textId="77777777" w:rsidR="009D02A3" w:rsidRPr="00F43848" w:rsidRDefault="009D02A3" w:rsidP="00127155">
      <w:pPr>
        <w:pStyle w:val="Default"/>
        <w:ind w:left="420" w:hanging="420"/>
        <w:jc w:val="center"/>
        <w:rPr>
          <w:rFonts w:ascii="Times New Roman" w:hAnsi="Times New Roman" w:cs="Times New Roman"/>
          <w:b/>
          <w:color w:val="auto"/>
          <w:sz w:val="36"/>
          <w:szCs w:val="36"/>
          <w:lang w:val="pl-PL"/>
        </w:rPr>
      </w:pPr>
    </w:p>
    <w:p w14:paraId="0F9B9725" w14:textId="15624592" w:rsidR="00127155" w:rsidRPr="00074B52" w:rsidRDefault="00127155" w:rsidP="00127155">
      <w:pPr>
        <w:pStyle w:val="Default"/>
        <w:ind w:left="420" w:hanging="420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074B52">
        <w:rPr>
          <w:rFonts w:ascii="Times New Roman" w:hAnsi="Times New Roman" w:cs="Times New Roman"/>
          <w:b/>
          <w:color w:val="auto"/>
          <w:lang w:val="pl-PL"/>
        </w:rPr>
        <w:t>Prenošenje</w:t>
      </w:r>
    </w:p>
    <w:p w14:paraId="5F021785" w14:textId="77777777" w:rsidR="00127155" w:rsidRPr="00074B52" w:rsidRDefault="00127155" w:rsidP="00127155">
      <w:pPr>
        <w:pStyle w:val="Default"/>
        <w:ind w:left="420" w:hanging="420"/>
        <w:jc w:val="center"/>
        <w:rPr>
          <w:rFonts w:ascii="Times New Roman" w:hAnsi="Times New Roman" w:cs="Times New Roman"/>
          <w:b/>
          <w:color w:val="auto"/>
          <w:lang w:val="pl-PL"/>
        </w:rPr>
      </w:pPr>
    </w:p>
    <w:p w14:paraId="6E4D222E" w14:textId="78ACFC24" w:rsidR="00127155" w:rsidRPr="00074B52" w:rsidRDefault="00663776" w:rsidP="00127155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>Član 2</w:t>
      </w:r>
      <w:r w:rsidR="00074B52" w:rsidRPr="00074B52">
        <w:rPr>
          <w:rFonts w:ascii="Times New Roman" w:hAnsi="Times New Roman" w:cs="Times New Roman"/>
          <w:color w:val="auto"/>
          <w:lang w:val="pl-PL"/>
        </w:rPr>
        <w:t>5</w:t>
      </w:r>
    </w:p>
    <w:p w14:paraId="202528E3" w14:textId="77777777" w:rsidR="00127155" w:rsidRPr="00F43848" w:rsidRDefault="00127155" w:rsidP="00127155">
      <w:pPr>
        <w:pStyle w:val="Default"/>
        <w:jc w:val="center"/>
        <w:rPr>
          <w:rFonts w:ascii="Times New Roman" w:hAnsi="Times New Roman" w:cs="Times New Roman"/>
          <w:color w:val="auto"/>
          <w:sz w:val="10"/>
          <w:szCs w:val="10"/>
          <w:lang w:val="pl-PL"/>
        </w:rPr>
      </w:pPr>
    </w:p>
    <w:p w14:paraId="4C9E4EC7" w14:textId="77777777" w:rsidR="00127155" w:rsidRPr="00074B52" w:rsidRDefault="00127155" w:rsidP="0012715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 xml:space="preserve">Bez obostrane saglasnosti, u pisanoj formi, ovaj Ugovor se ne smije prenijeti u cijelosti ili dijelom na drugu stranu. </w:t>
      </w:r>
    </w:p>
    <w:p w14:paraId="7040F89D" w14:textId="77777777" w:rsidR="00127155" w:rsidRPr="00074B52" w:rsidRDefault="00127155" w:rsidP="00127155">
      <w:pPr>
        <w:pStyle w:val="Default"/>
        <w:rPr>
          <w:rFonts w:ascii="Times New Roman" w:hAnsi="Times New Roman" w:cs="Times New Roman"/>
          <w:color w:val="auto"/>
          <w:lang w:val="pl-PL"/>
        </w:rPr>
      </w:pPr>
    </w:p>
    <w:p w14:paraId="078E9474" w14:textId="7BF0AB87" w:rsidR="00127155" w:rsidRPr="00074B52" w:rsidRDefault="00127155" w:rsidP="00127155">
      <w:pPr>
        <w:pStyle w:val="Default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074B52">
        <w:rPr>
          <w:rFonts w:ascii="Times New Roman" w:hAnsi="Times New Roman" w:cs="Times New Roman"/>
          <w:b/>
          <w:color w:val="auto"/>
          <w:lang w:val="pl-PL"/>
        </w:rPr>
        <w:t>Završne odredbe</w:t>
      </w:r>
    </w:p>
    <w:p w14:paraId="1EE76152" w14:textId="77777777" w:rsidR="00127155" w:rsidRPr="00074B52" w:rsidRDefault="00127155" w:rsidP="0012715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14:paraId="218A8BA4" w14:textId="328D9442" w:rsidR="00127155" w:rsidRPr="00074B52" w:rsidRDefault="00663776" w:rsidP="00127155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>Član 2</w:t>
      </w:r>
      <w:r w:rsidR="00074B52" w:rsidRPr="00074B52">
        <w:rPr>
          <w:rFonts w:ascii="Times New Roman" w:hAnsi="Times New Roman" w:cs="Times New Roman"/>
          <w:color w:val="auto"/>
          <w:lang w:val="pl-PL"/>
        </w:rPr>
        <w:t>6</w:t>
      </w:r>
    </w:p>
    <w:p w14:paraId="5B1BCBD2" w14:textId="77777777" w:rsidR="00127155" w:rsidRPr="00F43848" w:rsidRDefault="00127155" w:rsidP="00127155">
      <w:pPr>
        <w:pStyle w:val="Default"/>
        <w:rPr>
          <w:rFonts w:ascii="Times New Roman" w:hAnsi="Times New Roman" w:cs="Times New Roman"/>
          <w:color w:val="auto"/>
          <w:sz w:val="10"/>
          <w:szCs w:val="10"/>
          <w:lang w:val="pl-PL"/>
        </w:rPr>
      </w:pPr>
    </w:p>
    <w:p w14:paraId="54672ECC" w14:textId="0596EDBA" w:rsidR="00127155" w:rsidRPr="00074B52" w:rsidRDefault="004250A6" w:rsidP="0012715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 xml:space="preserve">Ugovorne strane </w:t>
      </w:r>
      <w:r w:rsidR="00127155" w:rsidRPr="00074B52">
        <w:rPr>
          <w:rFonts w:ascii="Times New Roman" w:hAnsi="Times New Roman" w:cs="Times New Roman"/>
          <w:color w:val="auto"/>
          <w:lang w:val="pl-PL"/>
        </w:rPr>
        <w:t xml:space="preserve"> su saglasne da sve eventualne sporove koji nastanu na osnovu ovog Ugovora ili u vezi sa njim, posebno one koje se tiču njegovog trajanja ili njegovog prestank</w:t>
      </w:r>
      <w:r w:rsidR="00450267" w:rsidRPr="00074B52">
        <w:rPr>
          <w:rFonts w:ascii="Times New Roman" w:hAnsi="Times New Roman" w:cs="Times New Roman"/>
          <w:color w:val="auto"/>
          <w:lang w:val="pl-PL"/>
        </w:rPr>
        <w:t xml:space="preserve">a važenja, rješavaju sporazumno, a u proptivnom spor će se rešavati </w:t>
      </w:r>
      <w:r w:rsidR="00074B52" w:rsidRPr="00074B52">
        <w:rPr>
          <w:rFonts w:ascii="Times New Roman" w:hAnsi="Times New Roman" w:cs="Times New Roman"/>
          <w:color w:val="auto"/>
          <w:lang w:val="pl-PL"/>
        </w:rPr>
        <w:t xml:space="preserve">pred </w:t>
      </w:r>
      <w:r w:rsidR="00127155" w:rsidRPr="00074B52">
        <w:rPr>
          <w:rFonts w:ascii="Times New Roman" w:hAnsi="Times New Roman" w:cs="Times New Roman"/>
          <w:color w:val="auto"/>
          <w:lang w:val="pl-PL"/>
        </w:rPr>
        <w:t xml:space="preserve"> nadležni</w:t>
      </w:r>
      <w:r w:rsidR="00450267" w:rsidRPr="00074B52">
        <w:rPr>
          <w:rFonts w:ascii="Times New Roman" w:hAnsi="Times New Roman" w:cs="Times New Roman"/>
          <w:color w:val="auto"/>
          <w:lang w:val="pl-PL"/>
        </w:rPr>
        <w:t xml:space="preserve">m </w:t>
      </w:r>
      <w:r w:rsidR="00127155" w:rsidRPr="00074B52">
        <w:rPr>
          <w:rFonts w:ascii="Times New Roman" w:hAnsi="Times New Roman" w:cs="Times New Roman"/>
          <w:color w:val="auto"/>
          <w:lang w:val="pl-PL"/>
        </w:rPr>
        <w:t xml:space="preserve"> sud</w:t>
      </w:r>
      <w:r w:rsidR="00450267" w:rsidRPr="00074B52">
        <w:rPr>
          <w:rFonts w:ascii="Times New Roman" w:hAnsi="Times New Roman" w:cs="Times New Roman"/>
          <w:color w:val="auto"/>
          <w:lang w:val="pl-PL"/>
        </w:rPr>
        <w:t>om.</w:t>
      </w:r>
      <w:r w:rsidR="00127155" w:rsidRPr="00074B52">
        <w:rPr>
          <w:rFonts w:ascii="Times New Roman" w:hAnsi="Times New Roman" w:cs="Times New Roman"/>
          <w:color w:val="auto"/>
          <w:lang w:val="pl-PL"/>
        </w:rPr>
        <w:t xml:space="preserve"> </w:t>
      </w:r>
    </w:p>
    <w:p w14:paraId="404833FB" w14:textId="77777777" w:rsidR="004250A6" w:rsidRPr="00074B52" w:rsidRDefault="004250A6" w:rsidP="0012715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14:paraId="2CFEEEAA" w14:textId="108305FB" w:rsidR="004250A6" w:rsidRDefault="004250A6" w:rsidP="004250A6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>Član 2</w:t>
      </w:r>
      <w:r w:rsidR="00074B52" w:rsidRPr="00074B52">
        <w:rPr>
          <w:rFonts w:ascii="Times New Roman" w:hAnsi="Times New Roman" w:cs="Times New Roman"/>
          <w:color w:val="auto"/>
          <w:lang w:val="pl-PL"/>
        </w:rPr>
        <w:t>7</w:t>
      </w:r>
    </w:p>
    <w:p w14:paraId="0D891766" w14:textId="77777777" w:rsidR="009D02A3" w:rsidRPr="00F43848" w:rsidRDefault="009D02A3" w:rsidP="004250A6">
      <w:pPr>
        <w:pStyle w:val="Default"/>
        <w:jc w:val="center"/>
        <w:rPr>
          <w:rFonts w:ascii="Times New Roman" w:hAnsi="Times New Roman" w:cs="Times New Roman"/>
          <w:color w:val="auto"/>
          <w:sz w:val="10"/>
          <w:szCs w:val="10"/>
          <w:lang w:val="pl-PL"/>
        </w:rPr>
      </w:pPr>
    </w:p>
    <w:p w14:paraId="41ABA200" w14:textId="36621DE5" w:rsidR="004250A6" w:rsidRPr="00074B52" w:rsidRDefault="004250A6" w:rsidP="004250A6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>Ovaj Ugovor se smatra zaključeniim i proizvodi pravno dejstvo od dana kada isti bude potpisan od strane ovlašćenih lica obje ugovorne strane.</w:t>
      </w:r>
    </w:p>
    <w:p w14:paraId="4B16B85D" w14:textId="77777777" w:rsidR="004250A6" w:rsidRPr="00074B52" w:rsidRDefault="004250A6" w:rsidP="0012715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14:paraId="7B9D2159" w14:textId="62954F36" w:rsidR="00450267" w:rsidRPr="00074B52" w:rsidRDefault="00450267" w:rsidP="00450267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>Član 2</w:t>
      </w:r>
      <w:r w:rsidR="00074B52" w:rsidRPr="00074B52">
        <w:rPr>
          <w:rFonts w:ascii="Times New Roman" w:hAnsi="Times New Roman" w:cs="Times New Roman"/>
          <w:color w:val="auto"/>
          <w:lang w:val="pl-PL"/>
        </w:rPr>
        <w:t>8</w:t>
      </w:r>
    </w:p>
    <w:p w14:paraId="56155E40" w14:textId="77777777" w:rsidR="00450267" w:rsidRPr="00F43848" w:rsidRDefault="00450267" w:rsidP="00450267">
      <w:pPr>
        <w:pStyle w:val="Default"/>
        <w:jc w:val="center"/>
        <w:rPr>
          <w:rFonts w:ascii="Times New Roman" w:hAnsi="Times New Roman" w:cs="Times New Roman"/>
          <w:color w:val="auto"/>
          <w:sz w:val="10"/>
          <w:szCs w:val="10"/>
          <w:lang w:val="pl-PL"/>
        </w:rPr>
      </w:pPr>
    </w:p>
    <w:p w14:paraId="0CCD8E1A" w14:textId="491D3AB1" w:rsidR="00450267" w:rsidRPr="00074B52" w:rsidRDefault="00450267" w:rsidP="00450267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074B52">
        <w:rPr>
          <w:rFonts w:ascii="Times New Roman" w:hAnsi="Times New Roman" w:cs="Times New Roman"/>
          <w:color w:val="auto"/>
          <w:lang w:val="pl-PL"/>
        </w:rPr>
        <w:t xml:space="preserve">Ugovor je sastavljen u četiri (4) </w:t>
      </w:r>
      <w:r w:rsidR="004250A6" w:rsidRPr="00074B52">
        <w:rPr>
          <w:rFonts w:ascii="Times New Roman" w:hAnsi="Times New Roman" w:cs="Times New Roman"/>
          <w:color w:val="auto"/>
          <w:lang w:val="pl-PL"/>
        </w:rPr>
        <w:t>istovjetna primjerka, po dva (2) primjerka za svaku od ugovornih strana.</w:t>
      </w:r>
    </w:p>
    <w:p w14:paraId="33F1297D" w14:textId="77777777" w:rsidR="00127155" w:rsidRPr="00074B52" w:rsidRDefault="00127155" w:rsidP="00127155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14:paraId="68B6F69E" w14:textId="77777777" w:rsidR="00F43848" w:rsidRPr="0077280D" w:rsidRDefault="00F43848" w:rsidP="00127155">
      <w:pPr>
        <w:spacing w:before="20" w:after="20"/>
        <w:rPr>
          <w:lang w:val="pl-PL"/>
        </w:rPr>
      </w:pPr>
    </w:p>
    <w:p w14:paraId="72739CAD" w14:textId="77777777" w:rsidR="00F43848" w:rsidRPr="0077280D" w:rsidRDefault="00F43848" w:rsidP="00127155">
      <w:pPr>
        <w:spacing w:before="20" w:after="20"/>
        <w:rPr>
          <w:lang w:val="pl-PL"/>
        </w:rPr>
      </w:pPr>
    </w:p>
    <w:p w14:paraId="3E0CC1A2" w14:textId="257AC8BC" w:rsidR="00127155" w:rsidRPr="00074B52" w:rsidRDefault="00074B52" w:rsidP="00127155">
      <w:pPr>
        <w:spacing w:before="20" w:after="20"/>
        <w:rPr>
          <w:lang w:val="pl-PL"/>
        </w:rPr>
      </w:pPr>
      <w:r w:rsidRPr="0077280D">
        <w:rPr>
          <w:lang w:val="pl-PL"/>
        </w:rPr>
        <w:t>Datum potpisivanja od strane TOU:</w:t>
      </w:r>
      <w:r w:rsidRPr="0077280D">
        <w:rPr>
          <w:lang w:val="pl-PL"/>
        </w:rPr>
        <w:tab/>
        <w:t xml:space="preserve">                        Datum potpisivanja od strane ATCG:</w:t>
      </w:r>
      <w:r w:rsidRPr="0077280D">
        <w:rPr>
          <w:lang w:val="pl-PL"/>
        </w:rPr>
        <w:tab/>
      </w:r>
    </w:p>
    <w:p w14:paraId="0A6D41AA" w14:textId="77777777" w:rsidR="00127155" w:rsidRPr="00074B52" w:rsidRDefault="00127155" w:rsidP="00127155">
      <w:pPr>
        <w:spacing w:before="20" w:after="20"/>
        <w:rPr>
          <w:lang w:val="pl-PL"/>
        </w:rPr>
      </w:pPr>
    </w:p>
    <w:p w14:paraId="5B486F73" w14:textId="374EDCA1" w:rsidR="00074B52" w:rsidRPr="00074B52" w:rsidRDefault="009D02A3" w:rsidP="00074B52">
      <w:pPr>
        <w:rPr>
          <w:b/>
          <w:bCs/>
          <w:lang w:val="sr-Latn-CS"/>
        </w:rPr>
      </w:pPr>
      <w:r w:rsidRPr="0077280D">
        <w:rPr>
          <w:lang w:val="pl-PL"/>
        </w:rPr>
        <w:t xml:space="preserve">    </w:t>
      </w:r>
      <w:r w:rsidR="00087E26" w:rsidRPr="0077280D">
        <w:rPr>
          <w:lang w:val="pl-PL"/>
        </w:rPr>
        <w:t>_________________</w:t>
      </w:r>
      <w:r w:rsidRPr="0077280D">
        <w:rPr>
          <w:lang w:val="pl-PL"/>
        </w:rPr>
        <w:t xml:space="preserve"> </w:t>
      </w:r>
      <w:r w:rsidR="00074B52" w:rsidRPr="0077280D">
        <w:rPr>
          <w:lang w:val="pl-PL"/>
        </w:rPr>
        <w:t xml:space="preserve">godine </w:t>
      </w:r>
      <w:r w:rsidR="00074B52" w:rsidRPr="0077280D">
        <w:rPr>
          <w:lang w:val="pl-PL"/>
        </w:rPr>
        <w:tab/>
      </w:r>
      <w:r w:rsidR="00074B52" w:rsidRPr="0077280D">
        <w:rPr>
          <w:lang w:val="pl-PL"/>
        </w:rPr>
        <w:tab/>
      </w:r>
      <w:r w:rsidR="00074B52" w:rsidRPr="0077280D">
        <w:rPr>
          <w:lang w:val="pl-PL"/>
        </w:rPr>
        <w:tab/>
      </w:r>
      <w:r w:rsidRPr="0077280D">
        <w:rPr>
          <w:lang w:val="pl-PL"/>
        </w:rPr>
        <w:t xml:space="preserve">      </w:t>
      </w:r>
      <w:r w:rsidR="00087E26" w:rsidRPr="0077280D">
        <w:rPr>
          <w:lang w:val="pl-PL"/>
        </w:rPr>
        <w:t>_________________</w:t>
      </w:r>
      <w:r w:rsidR="00F43848" w:rsidRPr="0077280D">
        <w:rPr>
          <w:lang w:val="pl-PL"/>
        </w:rPr>
        <w:t xml:space="preserve"> </w:t>
      </w:r>
      <w:r w:rsidR="00074B52" w:rsidRPr="0077280D">
        <w:rPr>
          <w:lang w:val="pl-PL"/>
        </w:rPr>
        <w:t xml:space="preserve">godine </w:t>
      </w:r>
    </w:p>
    <w:p w14:paraId="7CC8960C" w14:textId="7DFA686F" w:rsidR="00127155" w:rsidRPr="00074B52" w:rsidRDefault="00127155" w:rsidP="00127155">
      <w:pPr>
        <w:rPr>
          <w:b/>
          <w:bCs/>
          <w:lang w:val="sr-Latn-CS"/>
        </w:rPr>
      </w:pPr>
      <w:r w:rsidRPr="00074B52">
        <w:rPr>
          <w:b/>
          <w:bCs/>
          <w:lang w:val="sr-Latn-CS"/>
        </w:rPr>
        <w:t xml:space="preserve"> </w:t>
      </w:r>
    </w:p>
    <w:p w14:paraId="6023755D" w14:textId="77777777" w:rsidR="00F43848" w:rsidRDefault="009D02A3" w:rsidP="00A06036">
      <w:pPr>
        <w:rPr>
          <w:lang w:val="pl-PL"/>
        </w:rPr>
      </w:pPr>
      <w:r>
        <w:rPr>
          <w:lang w:val="pl-PL"/>
        </w:rPr>
        <w:t xml:space="preserve">               </w:t>
      </w:r>
    </w:p>
    <w:p w14:paraId="7DC8DD89" w14:textId="5A922120" w:rsidR="00A06036" w:rsidRDefault="00F43848" w:rsidP="00A06036">
      <w:pPr>
        <w:rPr>
          <w:lang w:val="pl-PL"/>
        </w:rPr>
      </w:pPr>
      <w:r>
        <w:rPr>
          <w:lang w:val="pl-PL"/>
        </w:rPr>
        <w:t xml:space="preserve">                  </w:t>
      </w:r>
      <w:r w:rsidR="009D02A3">
        <w:rPr>
          <w:lang w:val="pl-PL"/>
        </w:rPr>
        <w:t xml:space="preserve">Za TOU:                                                                      </w:t>
      </w:r>
      <w:r>
        <w:rPr>
          <w:lang w:val="pl-PL"/>
        </w:rPr>
        <w:t xml:space="preserve">  </w:t>
      </w:r>
      <w:r w:rsidR="009D02A3">
        <w:rPr>
          <w:lang w:val="pl-PL"/>
        </w:rPr>
        <w:t xml:space="preserve"> Za ATCG:</w:t>
      </w:r>
    </w:p>
    <w:p w14:paraId="6904D42F" w14:textId="77777777" w:rsidR="009D02A3" w:rsidRDefault="009D02A3" w:rsidP="00A06036">
      <w:pPr>
        <w:rPr>
          <w:lang w:val="pl-PL"/>
        </w:rPr>
      </w:pPr>
    </w:p>
    <w:p w14:paraId="1B1AC08B" w14:textId="1BF02B57" w:rsidR="00C5648E" w:rsidRPr="00A06036" w:rsidRDefault="00A06036" w:rsidP="00A06036">
      <w:pPr>
        <w:tabs>
          <w:tab w:val="left" w:pos="5085"/>
        </w:tabs>
        <w:rPr>
          <w:lang w:val="pl-PL"/>
        </w:rPr>
      </w:pPr>
      <w:r>
        <w:rPr>
          <w:lang w:val="pl-PL"/>
        </w:rPr>
        <w:t>--------------------------------------</w:t>
      </w:r>
      <w:r>
        <w:rPr>
          <w:lang w:val="pl-PL"/>
        </w:rPr>
        <w:tab/>
        <w:t>--------------------------------------------</w:t>
      </w:r>
    </w:p>
    <w:sectPr w:rsidR="00C5648E" w:rsidRPr="00A06036" w:rsidSect="0039339A">
      <w:headerReference w:type="default" r:id="rId8"/>
      <w:footerReference w:type="even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F4B9E" w14:textId="77777777" w:rsidR="00616531" w:rsidRDefault="00616531">
      <w:r>
        <w:separator/>
      </w:r>
    </w:p>
  </w:endnote>
  <w:endnote w:type="continuationSeparator" w:id="0">
    <w:p w14:paraId="04D44D98" w14:textId="77777777" w:rsidR="00616531" w:rsidRDefault="0061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1BC4" w14:textId="77777777" w:rsidR="00712A12" w:rsidRDefault="003E0FFA" w:rsidP="00431F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12A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7DEF77" w14:textId="77777777" w:rsidR="00712A12" w:rsidRDefault="00712A12" w:rsidP="00B322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590C6" w14:textId="77777777" w:rsidR="00616531" w:rsidRDefault="00616531">
      <w:r>
        <w:separator/>
      </w:r>
    </w:p>
  </w:footnote>
  <w:footnote w:type="continuationSeparator" w:id="0">
    <w:p w14:paraId="5F69E6E8" w14:textId="77777777" w:rsidR="00616531" w:rsidRDefault="00616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94" w:type="dxa"/>
      <w:tblInd w:w="-601" w:type="dxa"/>
      <w:tblLook w:val="04A0" w:firstRow="1" w:lastRow="0" w:firstColumn="1" w:lastColumn="0" w:noHBand="0" w:noVBand="1"/>
    </w:tblPr>
    <w:tblGrid>
      <w:gridCol w:w="2119"/>
      <w:gridCol w:w="5423"/>
      <w:gridCol w:w="2552"/>
    </w:tblGrid>
    <w:tr w:rsidR="00CD6D78" w14:paraId="68A9304C" w14:textId="77777777" w:rsidTr="004A0877">
      <w:trPr>
        <w:trHeight w:val="663"/>
      </w:trPr>
      <w:tc>
        <w:tcPr>
          <w:tcW w:w="2119" w:type="dxa"/>
          <w:vMerge w:val="restart"/>
        </w:tcPr>
        <w:p w14:paraId="43F6E14A" w14:textId="77777777" w:rsidR="00CD6D78" w:rsidRDefault="00CD6D78" w:rsidP="00CD6D78">
          <w:pPr>
            <w:pStyle w:val="Header"/>
          </w:pPr>
          <w:r>
            <w:rPr>
              <w:rFonts w:ascii="Arial" w:hAnsi="Arial" w:cs="Arial"/>
              <w:noProof/>
              <w:lang w:val="sr-Latn-ME" w:eastAsia="sr-Latn-ME"/>
            </w:rPr>
            <w:drawing>
              <wp:inline distT="0" distB="0" distL="0" distR="0" wp14:anchorId="285D4E9D" wp14:editId="1E9DA74B">
                <wp:extent cx="1076325" cy="704850"/>
                <wp:effectExtent l="19050" t="0" r="9525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3" w:type="dxa"/>
          <w:vAlign w:val="center"/>
        </w:tcPr>
        <w:p w14:paraId="7F99AD72" w14:textId="77777777" w:rsidR="00CD6D78" w:rsidRPr="0078157A" w:rsidRDefault="00CD6D78" w:rsidP="00CD6D78">
          <w:pPr>
            <w:pStyle w:val="Header"/>
            <w:jc w:val="center"/>
            <w:rPr>
              <w:b/>
              <w:sz w:val="28"/>
              <w:szCs w:val="28"/>
            </w:rPr>
          </w:pPr>
          <w:r w:rsidRPr="0078157A">
            <w:rPr>
              <w:b/>
              <w:sz w:val="28"/>
              <w:szCs w:val="28"/>
            </w:rPr>
            <w:t>AKREDITACIONO TIJELO CRNE GORE</w:t>
          </w:r>
        </w:p>
      </w:tc>
      <w:tc>
        <w:tcPr>
          <w:tcW w:w="2552" w:type="dxa"/>
        </w:tcPr>
        <w:p w14:paraId="459FEC38" w14:textId="0ADC6CA1" w:rsidR="00CD6D78" w:rsidRDefault="00CD6D78" w:rsidP="00CD6D78">
          <w:pPr>
            <w:pStyle w:val="Header"/>
            <w:jc w:val="center"/>
          </w:pPr>
          <w:proofErr w:type="spellStart"/>
          <w:r>
            <w:t>Oznaka</w:t>
          </w:r>
          <w:proofErr w:type="spellEnd"/>
          <w:r>
            <w:t>/Datum</w:t>
          </w:r>
          <w:r w:rsidR="00B73A68">
            <w:t xml:space="preserve"> </w:t>
          </w:r>
          <w:proofErr w:type="spellStart"/>
          <w:r w:rsidR="00B73A68">
            <w:t>izrade</w:t>
          </w:r>
          <w:proofErr w:type="spellEnd"/>
          <w:r w:rsidR="00B73A68">
            <w:t>:</w:t>
          </w:r>
        </w:p>
        <w:p w14:paraId="2335F949" w14:textId="735AAA18" w:rsidR="00CD6D78" w:rsidRDefault="00CD6D78" w:rsidP="00CC7260">
          <w:pPr>
            <w:pStyle w:val="Header"/>
            <w:jc w:val="center"/>
          </w:pPr>
          <w:r>
            <w:t>ZPQ.00.07/</w:t>
          </w:r>
          <w:r w:rsidR="00CC7260">
            <w:t>02.03.</w:t>
          </w:r>
          <w:r>
            <w:t>2023</w:t>
          </w:r>
        </w:p>
      </w:tc>
    </w:tr>
    <w:tr w:rsidR="00CD6D78" w14:paraId="6D9C8313" w14:textId="77777777" w:rsidTr="004A0877">
      <w:trPr>
        <w:trHeight w:val="142"/>
      </w:trPr>
      <w:tc>
        <w:tcPr>
          <w:tcW w:w="2119" w:type="dxa"/>
          <w:vMerge/>
        </w:tcPr>
        <w:p w14:paraId="3DAEB817" w14:textId="77777777" w:rsidR="00CD6D78" w:rsidRDefault="00CD6D78" w:rsidP="00CD6D78">
          <w:pPr>
            <w:pStyle w:val="Header"/>
          </w:pPr>
        </w:p>
      </w:tc>
      <w:tc>
        <w:tcPr>
          <w:tcW w:w="5423" w:type="dxa"/>
          <w:vAlign w:val="center"/>
        </w:tcPr>
        <w:p w14:paraId="0CE45FA5" w14:textId="24C5A750" w:rsidR="00CD6D78" w:rsidRPr="003B5B7E" w:rsidRDefault="0011416C" w:rsidP="00CD6D78">
          <w:pPr>
            <w:pStyle w:val="Header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UGOVOR O AKREDITACIJI </w:t>
          </w:r>
        </w:p>
      </w:tc>
      <w:tc>
        <w:tcPr>
          <w:tcW w:w="2552" w:type="dxa"/>
        </w:tcPr>
        <w:p w14:paraId="3035F3B7" w14:textId="77777777" w:rsidR="00CD6D78" w:rsidRDefault="00CD6D78" w:rsidP="00CD6D78">
          <w:pPr>
            <w:pStyle w:val="Header"/>
          </w:pPr>
          <w:r>
            <w:t xml:space="preserve">Strana/ </w:t>
          </w:r>
          <w:proofErr w:type="spellStart"/>
          <w:r>
            <w:t>Ukupno</w:t>
          </w:r>
          <w:proofErr w:type="spellEnd"/>
          <w:r>
            <w:t xml:space="preserve"> </w:t>
          </w:r>
          <w:proofErr w:type="spellStart"/>
          <w:r>
            <w:t>strana</w:t>
          </w:r>
          <w:proofErr w:type="spellEnd"/>
          <w:r>
            <w:t>:</w:t>
          </w:r>
        </w:p>
        <w:p w14:paraId="20D384DB" w14:textId="1C1D023E" w:rsidR="00CD6D78" w:rsidRDefault="00CD6D78" w:rsidP="00F43848">
          <w:pPr>
            <w:pStyle w:val="Header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2441B" w:rsidRPr="00D2441B">
            <w:rPr>
              <w:b/>
              <w:noProof/>
            </w:rPr>
            <w:t>6</w:t>
          </w:r>
          <w:r>
            <w:rPr>
              <w:b/>
              <w:noProof/>
            </w:rPr>
            <w:fldChar w:fldCharType="end"/>
          </w:r>
          <w:r>
            <w:rPr>
              <w:b/>
            </w:rPr>
            <w:t xml:space="preserve"> </w:t>
          </w:r>
          <w:r>
            <w:t>|</w:t>
          </w:r>
          <w:r w:rsidR="00F43848">
            <w:rPr>
              <w:color w:val="7F7F7F" w:themeColor="background1" w:themeShade="7F"/>
              <w:spacing w:val="60"/>
            </w:rPr>
            <w:t>7</w:t>
          </w:r>
        </w:p>
      </w:tc>
    </w:tr>
  </w:tbl>
  <w:p w14:paraId="49FECAB3" w14:textId="22F3E48F" w:rsidR="00A06036" w:rsidRDefault="00CD6D78" w:rsidP="00CD6D78">
    <w:pPr>
      <w:pStyle w:val="Header"/>
      <w:tabs>
        <w:tab w:val="clear" w:pos="4680"/>
        <w:tab w:val="clear" w:pos="9360"/>
        <w:tab w:val="left" w:pos="19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DF9A0D"/>
    <w:multiLevelType w:val="hybridMultilevel"/>
    <w:tmpl w:val="9B4CE921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A068F7"/>
    <w:multiLevelType w:val="hybridMultilevel"/>
    <w:tmpl w:val="36C0C7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65E0E"/>
    <w:multiLevelType w:val="hybridMultilevel"/>
    <w:tmpl w:val="ECE6C05C"/>
    <w:lvl w:ilvl="0" w:tplc="0BC87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B05F3"/>
    <w:multiLevelType w:val="hybridMultilevel"/>
    <w:tmpl w:val="0539D95C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E875409"/>
    <w:multiLevelType w:val="hybridMultilevel"/>
    <w:tmpl w:val="A684C110"/>
    <w:lvl w:ilvl="0" w:tplc="0B680B8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68FA9"/>
    <w:multiLevelType w:val="hybridMultilevel"/>
    <w:tmpl w:val="A6B8CEBF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56193623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80633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9484378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29416820">
    <w:abstractNumId w:val="1"/>
  </w:num>
  <w:num w:numId="5" w16cid:durableId="847869064">
    <w:abstractNumId w:val="4"/>
  </w:num>
  <w:num w:numId="6" w16cid:durableId="666323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99"/>
    <w:rsid w:val="00034456"/>
    <w:rsid w:val="00060F36"/>
    <w:rsid w:val="00063241"/>
    <w:rsid w:val="00067BEC"/>
    <w:rsid w:val="00074B52"/>
    <w:rsid w:val="00084F7E"/>
    <w:rsid w:val="00087E26"/>
    <w:rsid w:val="000903FB"/>
    <w:rsid w:val="000944D8"/>
    <w:rsid w:val="000A3319"/>
    <w:rsid w:val="000B1C04"/>
    <w:rsid w:val="000D0599"/>
    <w:rsid w:val="000E54D8"/>
    <w:rsid w:val="00112C56"/>
    <w:rsid w:val="0011416C"/>
    <w:rsid w:val="001155C0"/>
    <w:rsid w:val="00120640"/>
    <w:rsid w:val="00121EC4"/>
    <w:rsid w:val="001246CF"/>
    <w:rsid w:val="00126690"/>
    <w:rsid w:val="00127155"/>
    <w:rsid w:val="00133074"/>
    <w:rsid w:val="001579D5"/>
    <w:rsid w:val="00157E45"/>
    <w:rsid w:val="00175C91"/>
    <w:rsid w:val="00197BC4"/>
    <w:rsid w:val="001A4CE1"/>
    <w:rsid w:val="001B06FE"/>
    <w:rsid w:val="001C4F13"/>
    <w:rsid w:val="001D2D88"/>
    <w:rsid w:val="001D76E5"/>
    <w:rsid w:val="001E4E30"/>
    <w:rsid w:val="002200B1"/>
    <w:rsid w:val="002205CD"/>
    <w:rsid w:val="00221233"/>
    <w:rsid w:val="00225D38"/>
    <w:rsid w:val="00230EFC"/>
    <w:rsid w:val="00260C6D"/>
    <w:rsid w:val="002711FD"/>
    <w:rsid w:val="00280A98"/>
    <w:rsid w:val="00280DB0"/>
    <w:rsid w:val="00281049"/>
    <w:rsid w:val="0028212C"/>
    <w:rsid w:val="00290B9F"/>
    <w:rsid w:val="002967A3"/>
    <w:rsid w:val="002A5C4D"/>
    <w:rsid w:val="002A7EC7"/>
    <w:rsid w:val="002B1EF5"/>
    <w:rsid w:val="002B2CC3"/>
    <w:rsid w:val="002B5D2B"/>
    <w:rsid w:val="002C0ECE"/>
    <w:rsid w:val="002C13AF"/>
    <w:rsid w:val="002C32B3"/>
    <w:rsid w:val="002D475B"/>
    <w:rsid w:val="0032495E"/>
    <w:rsid w:val="003427A1"/>
    <w:rsid w:val="0035278B"/>
    <w:rsid w:val="00366F5D"/>
    <w:rsid w:val="00374BA9"/>
    <w:rsid w:val="003902E5"/>
    <w:rsid w:val="0039339A"/>
    <w:rsid w:val="00395E90"/>
    <w:rsid w:val="003B4273"/>
    <w:rsid w:val="003E0FFA"/>
    <w:rsid w:val="003E5050"/>
    <w:rsid w:val="003F1010"/>
    <w:rsid w:val="003F6F85"/>
    <w:rsid w:val="00412CA7"/>
    <w:rsid w:val="00413E3B"/>
    <w:rsid w:val="00414EAB"/>
    <w:rsid w:val="00420978"/>
    <w:rsid w:val="004250A6"/>
    <w:rsid w:val="00426241"/>
    <w:rsid w:val="00431FA9"/>
    <w:rsid w:val="004408AC"/>
    <w:rsid w:val="00441B8F"/>
    <w:rsid w:val="00450267"/>
    <w:rsid w:val="00462AFD"/>
    <w:rsid w:val="00464666"/>
    <w:rsid w:val="004700FF"/>
    <w:rsid w:val="004705A5"/>
    <w:rsid w:val="00474A00"/>
    <w:rsid w:val="00481AC5"/>
    <w:rsid w:val="00486904"/>
    <w:rsid w:val="004A0877"/>
    <w:rsid w:val="004B7E15"/>
    <w:rsid w:val="004D0AF8"/>
    <w:rsid w:val="004D4ABB"/>
    <w:rsid w:val="004D677D"/>
    <w:rsid w:val="004E7B07"/>
    <w:rsid w:val="00502F3A"/>
    <w:rsid w:val="00503A68"/>
    <w:rsid w:val="0051730A"/>
    <w:rsid w:val="00525B1F"/>
    <w:rsid w:val="00532048"/>
    <w:rsid w:val="005408FF"/>
    <w:rsid w:val="00542505"/>
    <w:rsid w:val="005603B4"/>
    <w:rsid w:val="00566901"/>
    <w:rsid w:val="00566B76"/>
    <w:rsid w:val="00583379"/>
    <w:rsid w:val="0058612D"/>
    <w:rsid w:val="00586BB1"/>
    <w:rsid w:val="0059365D"/>
    <w:rsid w:val="005A347F"/>
    <w:rsid w:val="005E077C"/>
    <w:rsid w:val="005E5FCD"/>
    <w:rsid w:val="005F2A2B"/>
    <w:rsid w:val="005F2B9A"/>
    <w:rsid w:val="00602A0D"/>
    <w:rsid w:val="00616531"/>
    <w:rsid w:val="00616667"/>
    <w:rsid w:val="00632654"/>
    <w:rsid w:val="00655D34"/>
    <w:rsid w:val="0066009D"/>
    <w:rsid w:val="00663776"/>
    <w:rsid w:val="006669F0"/>
    <w:rsid w:val="006822F1"/>
    <w:rsid w:val="00691B50"/>
    <w:rsid w:val="006A5B9A"/>
    <w:rsid w:val="006B2656"/>
    <w:rsid w:val="006B33BA"/>
    <w:rsid w:val="006B3E89"/>
    <w:rsid w:val="006B5838"/>
    <w:rsid w:val="006C30DA"/>
    <w:rsid w:val="006C6883"/>
    <w:rsid w:val="006C7C85"/>
    <w:rsid w:val="006D2914"/>
    <w:rsid w:val="006D3A14"/>
    <w:rsid w:val="006E20DE"/>
    <w:rsid w:val="007003EC"/>
    <w:rsid w:val="00706036"/>
    <w:rsid w:val="0071060F"/>
    <w:rsid w:val="00712A12"/>
    <w:rsid w:val="0071336F"/>
    <w:rsid w:val="00727C4A"/>
    <w:rsid w:val="0073586E"/>
    <w:rsid w:val="007373B5"/>
    <w:rsid w:val="007445DF"/>
    <w:rsid w:val="00745C33"/>
    <w:rsid w:val="00753E1D"/>
    <w:rsid w:val="007568CC"/>
    <w:rsid w:val="0077280D"/>
    <w:rsid w:val="007729E5"/>
    <w:rsid w:val="0077464B"/>
    <w:rsid w:val="00782DE7"/>
    <w:rsid w:val="007B0FCA"/>
    <w:rsid w:val="007B1AA2"/>
    <w:rsid w:val="007B5359"/>
    <w:rsid w:val="007C48DF"/>
    <w:rsid w:val="007C566C"/>
    <w:rsid w:val="007D07C0"/>
    <w:rsid w:val="007D46EC"/>
    <w:rsid w:val="007D4B55"/>
    <w:rsid w:val="007D78F7"/>
    <w:rsid w:val="007F1D80"/>
    <w:rsid w:val="007F4970"/>
    <w:rsid w:val="0080456E"/>
    <w:rsid w:val="00805586"/>
    <w:rsid w:val="008071BB"/>
    <w:rsid w:val="0081417C"/>
    <w:rsid w:val="008323C9"/>
    <w:rsid w:val="00854CB6"/>
    <w:rsid w:val="00855D22"/>
    <w:rsid w:val="00875800"/>
    <w:rsid w:val="00881F67"/>
    <w:rsid w:val="008832AD"/>
    <w:rsid w:val="00893E06"/>
    <w:rsid w:val="008A6485"/>
    <w:rsid w:val="008D3FB5"/>
    <w:rsid w:val="00912180"/>
    <w:rsid w:val="00925123"/>
    <w:rsid w:val="0092694C"/>
    <w:rsid w:val="00926FAB"/>
    <w:rsid w:val="00932EDC"/>
    <w:rsid w:val="009375A6"/>
    <w:rsid w:val="00943F12"/>
    <w:rsid w:val="009571B2"/>
    <w:rsid w:val="009600AB"/>
    <w:rsid w:val="009664E6"/>
    <w:rsid w:val="0097019C"/>
    <w:rsid w:val="00984BBD"/>
    <w:rsid w:val="00986B85"/>
    <w:rsid w:val="00987121"/>
    <w:rsid w:val="0099039E"/>
    <w:rsid w:val="00992581"/>
    <w:rsid w:val="00993BA0"/>
    <w:rsid w:val="009A4220"/>
    <w:rsid w:val="009A529D"/>
    <w:rsid w:val="009A68C5"/>
    <w:rsid w:val="009C1862"/>
    <w:rsid w:val="009C18F2"/>
    <w:rsid w:val="009D02A3"/>
    <w:rsid w:val="009D133B"/>
    <w:rsid w:val="009D37C1"/>
    <w:rsid w:val="009E00E2"/>
    <w:rsid w:val="009E3121"/>
    <w:rsid w:val="00A03596"/>
    <w:rsid w:val="00A06036"/>
    <w:rsid w:val="00A23587"/>
    <w:rsid w:val="00A237AA"/>
    <w:rsid w:val="00A30B24"/>
    <w:rsid w:val="00A3684A"/>
    <w:rsid w:val="00A41B38"/>
    <w:rsid w:val="00A6344B"/>
    <w:rsid w:val="00A85EC9"/>
    <w:rsid w:val="00A86605"/>
    <w:rsid w:val="00AA4A18"/>
    <w:rsid w:val="00AA5790"/>
    <w:rsid w:val="00AC2511"/>
    <w:rsid w:val="00AC356E"/>
    <w:rsid w:val="00AD6E76"/>
    <w:rsid w:val="00AF48B4"/>
    <w:rsid w:val="00AF5F56"/>
    <w:rsid w:val="00B013EB"/>
    <w:rsid w:val="00B06F0B"/>
    <w:rsid w:val="00B20EE1"/>
    <w:rsid w:val="00B24C70"/>
    <w:rsid w:val="00B322DD"/>
    <w:rsid w:val="00B32FDB"/>
    <w:rsid w:val="00B640EB"/>
    <w:rsid w:val="00B720BD"/>
    <w:rsid w:val="00B7350F"/>
    <w:rsid w:val="00B73A68"/>
    <w:rsid w:val="00B77037"/>
    <w:rsid w:val="00B813E9"/>
    <w:rsid w:val="00B872DF"/>
    <w:rsid w:val="00B8731C"/>
    <w:rsid w:val="00BA5635"/>
    <w:rsid w:val="00BD685A"/>
    <w:rsid w:val="00BE367B"/>
    <w:rsid w:val="00BE4829"/>
    <w:rsid w:val="00C03260"/>
    <w:rsid w:val="00C03755"/>
    <w:rsid w:val="00C10B39"/>
    <w:rsid w:val="00C1406F"/>
    <w:rsid w:val="00C200DE"/>
    <w:rsid w:val="00C21353"/>
    <w:rsid w:val="00C36476"/>
    <w:rsid w:val="00C450E6"/>
    <w:rsid w:val="00C50235"/>
    <w:rsid w:val="00C5648E"/>
    <w:rsid w:val="00C56D1B"/>
    <w:rsid w:val="00C95C32"/>
    <w:rsid w:val="00C95ECE"/>
    <w:rsid w:val="00C96331"/>
    <w:rsid w:val="00CA6400"/>
    <w:rsid w:val="00CB4019"/>
    <w:rsid w:val="00CC00E7"/>
    <w:rsid w:val="00CC1302"/>
    <w:rsid w:val="00CC36F2"/>
    <w:rsid w:val="00CC7260"/>
    <w:rsid w:val="00CD0991"/>
    <w:rsid w:val="00CD6D78"/>
    <w:rsid w:val="00CE1E74"/>
    <w:rsid w:val="00D059CF"/>
    <w:rsid w:val="00D11547"/>
    <w:rsid w:val="00D2441B"/>
    <w:rsid w:val="00D2709D"/>
    <w:rsid w:val="00D40346"/>
    <w:rsid w:val="00D76F04"/>
    <w:rsid w:val="00D8071B"/>
    <w:rsid w:val="00D84D69"/>
    <w:rsid w:val="00D854E9"/>
    <w:rsid w:val="00D8554C"/>
    <w:rsid w:val="00DA74A5"/>
    <w:rsid w:val="00DB11D6"/>
    <w:rsid w:val="00DB5226"/>
    <w:rsid w:val="00DB59E4"/>
    <w:rsid w:val="00DC2798"/>
    <w:rsid w:val="00DF741C"/>
    <w:rsid w:val="00E25C86"/>
    <w:rsid w:val="00E4335F"/>
    <w:rsid w:val="00E56C75"/>
    <w:rsid w:val="00E63EEC"/>
    <w:rsid w:val="00E65B4D"/>
    <w:rsid w:val="00E82315"/>
    <w:rsid w:val="00E82EDC"/>
    <w:rsid w:val="00E87E3D"/>
    <w:rsid w:val="00EB38E7"/>
    <w:rsid w:val="00EC4EE2"/>
    <w:rsid w:val="00F01900"/>
    <w:rsid w:val="00F11C52"/>
    <w:rsid w:val="00F14176"/>
    <w:rsid w:val="00F254D3"/>
    <w:rsid w:val="00F27F5D"/>
    <w:rsid w:val="00F36F59"/>
    <w:rsid w:val="00F37C27"/>
    <w:rsid w:val="00F43848"/>
    <w:rsid w:val="00F47391"/>
    <w:rsid w:val="00F51201"/>
    <w:rsid w:val="00F62F15"/>
    <w:rsid w:val="00F63039"/>
    <w:rsid w:val="00F7633B"/>
    <w:rsid w:val="00F8535D"/>
    <w:rsid w:val="00F96DFD"/>
    <w:rsid w:val="00FA16EC"/>
    <w:rsid w:val="00FA5A3B"/>
    <w:rsid w:val="00FC0379"/>
    <w:rsid w:val="00FC045E"/>
    <w:rsid w:val="00FC37E6"/>
    <w:rsid w:val="00FD3B30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CAC87"/>
  <w15:docId w15:val="{361DEEB0-2E93-450A-BE9E-5A25A852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599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05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C200D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322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22DD"/>
  </w:style>
  <w:style w:type="paragraph" w:styleId="Header">
    <w:name w:val="header"/>
    <w:basedOn w:val="Normal"/>
    <w:link w:val="HeaderChar"/>
    <w:uiPriority w:val="99"/>
    <w:rsid w:val="000903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3FB"/>
    <w:rPr>
      <w:rFonts w:eastAsia="SimSu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5E077C"/>
    <w:rPr>
      <w:rFonts w:eastAsia="SimSu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FC0379"/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3902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0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1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kreditacija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 predmeta:1121/</vt:lpstr>
    </vt:vector>
  </TitlesOfParts>
  <Company>Hewlett-Packard Company</Company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predmeta:1121/</dc:title>
  <dc:creator>x</dc:creator>
  <cp:lastModifiedBy>Maja Pavicevic</cp:lastModifiedBy>
  <cp:revision>7</cp:revision>
  <cp:lastPrinted>2023-03-02T12:40:00Z</cp:lastPrinted>
  <dcterms:created xsi:type="dcterms:W3CDTF">2024-04-17T11:08:00Z</dcterms:created>
  <dcterms:modified xsi:type="dcterms:W3CDTF">2026-03-05T11:56:00Z</dcterms:modified>
</cp:coreProperties>
</file>